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750" w:rsidRDefault="00DB1750" w:rsidP="00DB1750">
      <w:pPr>
        <w:jc w:val="center"/>
        <w:rPr>
          <w:b/>
        </w:rPr>
      </w:pPr>
      <w:bookmarkStart w:id="0" w:name="_GoBack"/>
      <w:bookmarkEnd w:id="0"/>
      <w:r>
        <w:rPr>
          <w:b/>
        </w:rPr>
        <w:t>ΠΑΡΑΡΤΗΜΑ ΙΙ</w:t>
      </w:r>
    </w:p>
    <w:p w:rsidR="00A367A2" w:rsidRPr="00DB1750" w:rsidRDefault="00A367A2" w:rsidP="00DB1750">
      <w:pPr>
        <w:jc w:val="center"/>
        <w:rPr>
          <w:b/>
        </w:rPr>
      </w:pPr>
      <w:r w:rsidRPr="00DB1750">
        <w:rPr>
          <w:b/>
          <w:lang w:val="en-US"/>
        </w:rPr>
        <w:t>Y</w:t>
      </w:r>
      <w:r w:rsidRPr="00DB1750">
        <w:rPr>
          <w:b/>
        </w:rPr>
        <w:t>ΠΟΧΡΕΩΣΕΙΣ ΠΟΥ ΠΡΟΚΥΠΤΟΥΝ ΑΠΟ ΤΟΝ ΕΥΡΩΠΑΪΚΟ ΚΑΝΟΝΙΣΜΟ 651/2014</w:t>
      </w:r>
    </w:p>
    <w:p w:rsidR="00A367A2" w:rsidRPr="00DB1750" w:rsidRDefault="00A367A2" w:rsidP="008A2388">
      <w:pPr>
        <w:jc w:val="both"/>
      </w:pPr>
    </w:p>
    <w:p w:rsidR="00A367A2" w:rsidRPr="00DB1750" w:rsidRDefault="00A367A2" w:rsidP="00E27F72">
      <w:pPr>
        <w:pStyle w:val="a3"/>
        <w:numPr>
          <w:ilvl w:val="0"/>
          <w:numId w:val="6"/>
        </w:numPr>
        <w:ind w:left="284" w:hanging="284"/>
        <w:jc w:val="both"/>
      </w:pPr>
      <w:r w:rsidRPr="00DB1750">
        <w:t xml:space="preserve">Αποκλεισμός των επιχειρήσεων τις οποίες αφορά ο κανόνας </w:t>
      </w:r>
      <w:proofErr w:type="spellStart"/>
      <w:r w:rsidRPr="00DB1750">
        <w:t>Deggendorf</w:t>
      </w:r>
      <w:proofErr w:type="spellEnd"/>
      <w:r w:rsidRPr="00DB1750">
        <w:t xml:space="preserve"> </w:t>
      </w:r>
    </w:p>
    <w:p w:rsidR="00A367A2" w:rsidRPr="00DB1750" w:rsidRDefault="00A367A2" w:rsidP="00E27F72">
      <w:pPr>
        <w:ind w:left="284"/>
        <w:jc w:val="both"/>
      </w:pPr>
      <w:r w:rsidRPr="00DB1750">
        <w:t xml:space="preserve">Ο ΓΑΚ δεν εφαρμόζεται στα καθεστώτα ενισχύσεων που δεν αποκλείουν ρητά την καταβολή μεμονωμένων ενισχύσεων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 και ασυμβίβαστη και δεν εφαρμόζεται στις </w:t>
      </w:r>
      <w:proofErr w:type="spellStart"/>
      <w:r w:rsidRPr="00DB1750">
        <w:t>ad</w:t>
      </w:r>
      <w:proofErr w:type="spellEnd"/>
      <w:r w:rsidRPr="00DB1750">
        <w:t xml:space="preserve"> </w:t>
      </w:r>
      <w:proofErr w:type="spellStart"/>
      <w:r w:rsidRPr="00DB1750">
        <w:t>hoc</w:t>
      </w:r>
      <w:proofErr w:type="spellEnd"/>
      <w:r w:rsidRPr="00DB1750">
        <w:t xml:space="preserve"> ενισχύσεις υπέρ μιας τέτοιας επιχείρησης. </w:t>
      </w:r>
    </w:p>
    <w:p w:rsidR="00A367A2" w:rsidRPr="00DB1750" w:rsidRDefault="00A367A2" w:rsidP="00E27F72">
      <w:pPr>
        <w:ind w:left="284"/>
        <w:jc w:val="both"/>
      </w:pPr>
      <w:r w:rsidRPr="00DB1750">
        <w:t xml:space="preserve">Υποβολή υπεύθυνης δήλωσης. </w:t>
      </w:r>
    </w:p>
    <w:p w:rsidR="00A367A2" w:rsidRPr="00DB1750" w:rsidRDefault="00A367A2" w:rsidP="008A2388">
      <w:pPr>
        <w:jc w:val="both"/>
      </w:pPr>
    </w:p>
    <w:p w:rsidR="00A367A2" w:rsidRPr="00DB1750" w:rsidRDefault="00A367A2" w:rsidP="00E27F72">
      <w:pPr>
        <w:pStyle w:val="a3"/>
        <w:numPr>
          <w:ilvl w:val="0"/>
          <w:numId w:val="6"/>
        </w:numPr>
        <w:ind w:left="284" w:hanging="284"/>
        <w:jc w:val="both"/>
      </w:pPr>
      <w:r w:rsidRPr="00DB1750">
        <w:t xml:space="preserve">Αποκλεισμός των προβληματικών επιχειρήσεων </w:t>
      </w:r>
    </w:p>
    <w:p w:rsidR="00A367A2" w:rsidRPr="00DB1750" w:rsidRDefault="00A367A2" w:rsidP="00E27F72">
      <w:pPr>
        <w:ind w:left="284"/>
        <w:jc w:val="both"/>
      </w:pPr>
      <w:r w:rsidRPr="00DB1750">
        <w:t xml:space="preserve">Ο ΓΑΚ δεν εφαρμόζεται στις ενισχύσεις για προβληματικές επιχειρήσεις. </w:t>
      </w:r>
    </w:p>
    <w:p w:rsidR="00A367A2" w:rsidRPr="00DB1750" w:rsidRDefault="00A367A2" w:rsidP="00E27F72">
      <w:pPr>
        <w:ind w:left="284"/>
        <w:jc w:val="both"/>
      </w:pPr>
      <w:r w:rsidRPr="00DB1750">
        <w:t xml:space="preserve">Η ανωτέρω υποχρέωση ελέγχεται με την υποβολή οικονομικών στοιχείων και λοιπών πιστοποιητικών εκ μέρους των δυνητικών δικαιούχων. </w:t>
      </w:r>
    </w:p>
    <w:p w:rsidR="00A367A2" w:rsidRPr="00DB1750" w:rsidRDefault="00A367A2" w:rsidP="008A2388">
      <w:pPr>
        <w:jc w:val="both"/>
      </w:pPr>
    </w:p>
    <w:p w:rsidR="00A367A2" w:rsidRPr="00DB1750" w:rsidRDefault="00A367A2" w:rsidP="00E27F72">
      <w:pPr>
        <w:pStyle w:val="a3"/>
        <w:numPr>
          <w:ilvl w:val="0"/>
          <w:numId w:val="6"/>
        </w:numPr>
        <w:ind w:left="284" w:hanging="284"/>
        <w:jc w:val="both"/>
      </w:pPr>
      <w:r w:rsidRPr="00DB1750">
        <w:t xml:space="preserve">Αποκλεισμός των μέτρων ενισχύσεων που παραβιάζουν το δίκαιο της Ένωσης </w:t>
      </w:r>
    </w:p>
    <w:p w:rsidR="00A367A2" w:rsidRPr="00DB1750" w:rsidRDefault="00A367A2" w:rsidP="00E27F72">
      <w:pPr>
        <w:ind w:left="284"/>
        <w:jc w:val="both"/>
      </w:pPr>
      <w:r w:rsidRPr="00DB1750">
        <w:t>Ο ΓΑΚ δεν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A367A2" w:rsidRPr="00DB1750" w:rsidRDefault="00A367A2" w:rsidP="00E27F72">
      <w:pPr>
        <w:ind w:left="567" w:hanging="283"/>
        <w:jc w:val="both"/>
      </w:pPr>
      <w:r w:rsidRPr="00DB1750">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w:t>
      </w:r>
      <w:r w:rsidR="00723154" w:rsidRPr="00DB1750">
        <w:t xml:space="preserve"> μέλος που χορηγεί την ενίσχυση</w:t>
      </w:r>
    </w:p>
    <w:p w:rsidR="00A367A2" w:rsidRPr="00DB1750" w:rsidRDefault="00A367A2" w:rsidP="00E27F72">
      <w:pPr>
        <w:ind w:left="567" w:hanging="283"/>
        <w:jc w:val="both"/>
      </w:pPr>
      <w:r w:rsidRPr="00DB1750">
        <w:t>β) την υποχρέωση του δικαιούχου να χρησιμοποιεί προϊόντα εγχώρια</w:t>
      </w:r>
      <w:r w:rsidR="00723154" w:rsidRPr="00DB1750">
        <w:t>ς παραγωγής ή εθνικές υπηρεσίες</w:t>
      </w:r>
    </w:p>
    <w:p w:rsidR="00A367A2" w:rsidRPr="00DB1750" w:rsidRDefault="00A367A2" w:rsidP="00E27F72">
      <w:pPr>
        <w:ind w:left="567" w:hanging="283"/>
        <w:jc w:val="both"/>
      </w:pPr>
      <w:r w:rsidRPr="00DB1750">
        <w:t>γ) τον περιορισμό της δυνατότητας των δικαιούχων να κάνουν χρήση των αποτελεσμάτων της έρευνας, ανάπτυξης και καινοτομίας σε άλλα κράτη μέλη.</w:t>
      </w:r>
    </w:p>
    <w:p w:rsidR="00A367A2" w:rsidRPr="00DB1750" w:rsidRDefault="00A367A2" w:rsidP="008A2388">
      <w:pPr>
        <w:jc w:val="both"/>
      </w:pPr>
    </w:p>
    <w:p w:rsidR="00A367A2" w:rsidRPr="00DB1750" w:rsidRDefault="00A367A2" w:rsidP="00E27F72">
      <w:pPr>
        <w:pStyle w:val="a3"/>
        <w:numPr>
          <w:ilvl w:val="0"/>
          <w:numId w:val="6"/>
        </w:numPr>
        <w:ind w:left="284" w:hanging="284"/>
        <w:jc w:val="both"/>
      </w:pPr>
      <w:r w:rsidRPr="00DB1750">
        <w:t>Όρια κοινοποίησης μεμονωμένων ενισχύσεων</w:t>
      </w:r>
    </w:p>
    <w:p w:rsidR="00A367A2" w:rsidRPr="00DB1750" w:rsidRDefault="00E27F72" w:rsidP="00E27F72">
      <w:pPr>
        <w:ind w:left="567" w:hanging="283"/>
        <w:jc w:val="both"/>
      </w:pPr>
      <w:r w:rsidRPr="00DB1750">
        <w:rPr>
          <w:lang w:val="en-US"/>
        </w:rPr>
        <w:t>A</w:t>
      </w:r>
      <w:r w:rsidR="00A367A2" w:rsidRPr="00DB1750">
        <w:t>. Ο ΓΑΚ δεν εφαρμόζεται στις ενισχύσεις που υπερβαίνουν για τις επενδυτικές ενισχύσεις τον πολιτισμό και την πολιτιστική κληρονομιά: 100 εκατ. ευρώ ανά έργο.</w:t>
      </w:r>
    </w:p>
    <w:p w:rsidR="00A367A2" w:rsidRPr="00DB1750" w:rsidRDefault="00E27F72" w:rsidP="00E27F72">
      <w:pPr>
        <w:ind w:left="567" w:hanging="283"/>
        <w:jc w:val="both"/>
      </w:pPr>
      <w:proofErr w:type="gramStart"/>
      <w:r w:rsidRPr="00DB1750">
        <w:rPr>
          <w:lang w:val="en-US"/>
        </w:rPr>
        <w:t>B</w:t>
      </w:r>
      <w:r w:rsidR="00A367A2" w:rsidRPr="00DB1750">
        <w:t>. Τα όρια δεν επιτρέπεται να καταστρατηγούνται με τον τεχνητό διαχωρισμό των καθεστώτων ενισχύσεων ή των έργων ενίσχυσης.</w:t>
      </w:r>
      <w:proofErr w:type="gramEnd"/>
    </w:p>
    <w:p w:rsidR="00A367A2" w:rsidRPr="00DB1750" w:rsidRDefault="00A367A2" w:rsidP="008A2388">
      <w:pPr>
        <w:jc w:val="both"/>
      </w:pPr>
    </w:p>
    <w:p w:rsidR="00A367A2" w:rsidRPr="00DB1750" w:rsidRDefault="00A367A2" w:rsidP="00E27F72">
      <w:pPr>
        <w:pStyle w:val="a3"/>
        <w:numPr>
          <w:ilvl w:val="0"/>
          <w:numId w:val="6"/>
        </w:numPr>
        <w:ind w:left="284" w:hanging="284"/>
        <w:jc w:val="both"/>
      </w:pPr>
      <w:r w:rsidRPr="00DB1750">
        <w:t>Χαρακτήρας κινήτρου</w:t>
      </w:r>
    </w:p>
    <w:p w:rsidR="00A367A2" w:rsidRPr="00DB1750" w:rsidRDefault="00A367A2" w:rsidP="003107C6">
      <w:pPr>
        <w:ind w:left="284"/>
        <w:jc w:val="both"/>
      </w:pPr>
      <w:r w:rsidRPr="00DB1750">
        <w:t>Οι ενισχύσεις μπορούν να τύχουν απαλλαγής μόνον εάν έχουν χαρακτήρα κινήτρου, ως ακολούθως:</w:t>
      </w:r>
    </w:p>
    <w:p w:rsidR="00A367A2" w:rsidRPr="00DB1750" w:rsidRDefault="00A367A2" w:rsidP="00271B2E">
      <w:pPr>
        <w:tabs>
          <w:tab w:val="left" w:pos="567"/>
        </w:tabs>
        <w:ind w:left="567" w:hanging="283"/>
        <w:jc w:val="both"/>
      </w:pPr>
      <w:r w:rsidRPr="00DB1750">
        <w:t>α) Ο δικαιούχος έχει υποβάλει αίτηση ενίσχυσης στο κράτος μέλος, πριν από την έναρξη του έργου ή των εργασιών, που περιλαμβάνει τουλάχιστον τα ακόλουθα στοιχεία:</w:t>
      </w:r>
    </w:p>
    <w:p w:rsidR="00A367A2" w:rsidRPr="00DB1750" w:rsidRDefault="00A367A2" w:rsidP="00271B2E">
      <w:pPr>
        <w:pStyle w:val="a3"/>
        <w:numPr>
          <w:ilvl w:val="0"/>
          <w:numId w:val="9"/>
        </w:numPr>
        <w:ind w:left="851" w:hanging="284"/>
        <w:jc w:val="both"/>
      </w:pPr>
      <w:r w:rsidRPr="00DB1750">
        <w:t>την ονομασία και το μέγεθος της επιχείρησης·</w:t>
      </w:r>
    </w:p>
    <w:p w:rsidR="00A367A2" w:rsidRPr="00DB1750" w:rsidRDefault="00A367A2" w:rsidP="00271B2E">
      <w:pPr>
        <w:pStyle w:val="a3"/>
        <w:numPr>
          <w:ilvl w:val="0"/>
          <w:numId w:val="9"/>
        </w:numPr>
        <w:ind w:left="851" w:hanging="284"/>
        <w:jc w:val="both"/>
      </w:pPr>
      <w:r w:rsidRPr="00DB1750">
        <w:t>περιγραφή του έργου, συμπεριλαμβανομένων των ημερομηνιών έναρξης και λήξης·</w:t>
      </w:r>
    </w:p>
    <w:p w:rsidR="00A367A2" w:rsidRPr="00DB1750" w:rsidRDefault="00A367A2" w:rsidP="00271B2E">
      <w:pPr>
        <w:pStyle w:val="a3"/>
        <w:numPr>
          <w:ilvl w:val="0"/>
          <w:numId w:val="9"/>
        </w:numPr>
        <w:ind w:left="851" w:hanging="284"/>
        <w:jc w:val="both"/>
      </w:pPr>
      <w:r w:rsidRPr="00DB1750">
        <w:t>τον τόπο εκτέλεσης του έργου·</w:t>
      </w:r>
    </w:p>
    <w:p w:rsidR="00A367A2" w:rsidRPr="00DB1750" w:rsidRDefault="00A367A2" w:rsidP="00271B2E">
      <w:pPr>
        <w:pStyle w:val="a3"/>
        <w:numPr>
          <w:ilvl w:val="0"/>
          <w:numId w:val="9"/>
        </w:numPr>
        <w:ind w:left="851" w:hanging="284"/>
        <w:jc w:val="both"/>
      </w:pPr>
      <w:r w:rsidRPr="00DB1750">
        <w:t>κατάλογο των δαπανών του έργου·</w:t>
      </w:r>
    </w:p>
    <w:p w:rsidR="00A367A2" w:rsidRPr="00DB1750" w:rsidRDefault="00A367A2" w:rsidP="00271B2E">
      <w:pPr>
        <w:pStyle w:val="a3"/>
        <w:numPr>
          <w:ilvl w:val="0"/>
          <w:numId w:val="9"/>
        </w:numPr>
        <w:ind w:left="851" w:hanging="284"/>
        <w:jc w:val="both"/>
      </w:pPr>
      <w:r w:rsidRPr="00DB1750">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A367A2" w:rsidRPr="00DB1750" w:rsidRDefault="00A367A2" w:rsidP="009252DE">
      <w:pPr>
        <w:ind w:left="567" w:hanging="283"/>
        <w:jc w:val="both"/>
      </w:pPr>
      <w:r w:rsidRPr="00DB1750">
        <w:lastRenderedPageBreak/>
        <w:t xml:space="preserve">β) </w:t>
      </w:r>
      <w:proofErr w:type="spellStart"/>
      <w:r w:rsidRPr="00DB1750">
        <w:t>Ad</w:t>
      </w:r>
      <w:proofErr w:type="spellEnd"/>
      <w:r w:rsidRPr="00DB1750">
        <w:t xml:space="preserve"> </w:t>
      </w:r>
      <w:proofErr w:type="spellStart"/>
      <w:r w:rsidRPr="00DB1750">
        <w:t>hoc</w:t>
      </w:r>
      <w:proofErr w:type="spellEnd"/>
      <w:r w:rsidRPr="00DB1750">
        <w:t xml:space="preserve"> ενισχύσεις σε μεγάλες επιχειρήσεις,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A367A2" w:rsidRPr="00DB1750" w:rsidRDefault="00A367A2" w:rsidP="009252DE">
      <w:pPr>
        <w:ind w:left="851" w:hanging="284"/>
        <w:jc w:val="both"/>
      </w:pPr>
      <w:r w:rsidRPr="00DB1750">
        <w:t>-    ουσιώδης αύξηση του αντικειμένου του έργου/της δραστηριότη</w:t>
      </w:r>
      <w:r w:rsidR="009252DE" w:rsidRPr="00DB1750">
        <w:t>τας ως αποτέλεσμα της ενίσχυσης</w:t>
      </w:r>
      <w:r w:rsidRPr="00DB1750">
        <w:t xml:space="preserve"> ή</w:t>
      </w:r>
    </w:p>
    <w:p w:rsidR="00A367A2" w:rsidRPr="00DB1750" w:rsidRDefault="00A367A2" w:rsidP="009252DE">
      <w:pPr>
        <w:ind w:left="851" w:hanging="284"/>
        <w:jc w:val="both"/>
      </w:pPr>
      <w:r w:rsidRPr="00DB1750">
        <w:t>-    ουσιώδης αύξηση του συνολικού ποσού που δαπανά ο δικαιούχος για το έργο/τη δραστηριότ</w:t>
      </w:r>
      <w:r w:rsidR="009252DE" w:rsidRPr="00DB1750">
        <w:t>ητα ως αποτέλεσμα της ενίσχυσης</w:t>
      </w:r>
      <w:r w:rsidRPr="00DB1750">
        <w:t xml:space="preserve"> ή</w:t>
      </w:r>
    </w:p>
    <w:p w:rsidR="00A367A2" w:rsidRPr="00DB1750" w:rsidRDefault="00A367A2" w:rsidP="009252DE">
      <w:pPr>
        <w:ind w:left="851" w:hanging="284"/>
        <w:jc w:val="both"/>
      </w:pPr>
      <w:r w:rsidRPr="00DB1750">
        <w:t>-   </w:t>
      </w:r>
      <w:r w:rsidR="009252DE" w:rsidRPr="00DB1750">
        <w:tab/>
      </w:r>
      <w:r w:rsidRPr="00DB1750">
        <w:t>ουσιώδης αύξηση της ταχύτητας ολοκλήρωσης του συγκεκριμένου έργου/δραστηριότητας.</w:t>
      </w:r>
    </w:p>
    <w:p w:rsidR="00E27F72" w:rsidRPr="00DB1750" w:rsidRDefault="00E27F72" w:rsidP="008A2388">
      <w:pPr>
        <w:jc w:val="both"/>
      </w:pPr>
    </w:p>
    <w:p w:rsidR="00A367A2" w:rsidRPr="00DB1750" w:rsidRDefault="004073AE" w:rsidP="004073AE">
      <w:pPr>
        <w:ind w:left="284" w:hanging="284"/>
        <w:jc w:val="both"/>
      </w:pPr>
      <w:r w:rsidRPr="00DB1750">
        <w:t>6.</w:t>
      </w:r>
      <w:r w:rsidRPr="00DB1750">
        <w:rPr>
          <w:lang w:val="en-US"/>
        </w:rPr>
        <w:tab/>
      </w:r>
      <w:r w:rsidR="00A367A2" w:rsidRPr="00DB1750">
        <w:t>Επιλέξιμες δαπάνες</w:t>
      </w:r>
    </w:p>
    <w:p w:rsidR="00A367A2" w:rsidRPr="00DB1750" w:rsidRDefault="00A367A2" w:rsidP="004073AE">
      <w:pPr>
        <w:ind w:left="567" w:hanging="283"/>
        <w:jc w:val="both"/>
      </w:pPr>
      <w:r w:rsidRPr="00DB1750">
        <w:t xml:space="preserve">-    Για τον υπολογισμό της έντασης της ενίσχυσης λαμβάνονται υπόψη αριθμητικά στοιχεία πριν από την αφαίρεση φόρων ή άλλων επιβαρύνσεων. </w:t>
      </w:r>
    </w:p>
    <w:p w:rsidR="00A367A2" w:rsidRPr="00DB1750" w:rsidRDefault="00A367A2" w:rsidP="004073AE">
      <w:pPr>
        <w:ind w:left="567" w:hanging="283"/>
        <w:jc w:val="both"/>
      </w:pPr>
      <w:r w:rsidRPr="00DB1750">
        <w:t xml:space="preserve">-    Οι επιλέξιμες δαπάνες τεκμηριώνονται με σαφή, συγκεκριμένα και </w:t>
      </w:r>
      <w:proofErr w:type="spellStart"/>
      <w:r w:rsidRPr="00DB1750">
        <w:t>επικαιροποιημένα</w:t>
      </w:r>
      <w:proofErr w:type="spellEnd"/>
      <w:r w:rsidRPr="00DB1750">
        <w:t xml:space="preserve"> έγγραφα.</w:t>
      </w:r>
    </w:p>
    <w:p w:rsidR="00A367A2" w:rsidRPr="00DB1750" w:rsidRDefault="00A367A2" w:rsidP="008A2388">
      <w:pPr>
        <w:jc w:val="both"/>
      </w:pPr>
    </w:p>
    <w:p w:rsidR="00A367A2" w:rsidRPr="00DB1750" w:rsidRDefault="00685585" w:rsidP="00685585">
      <w:pPr>
        <w:ind w:left="284" w:hanging="284"/>
        <w:jc w:val="both"/>
      </w:pPr>
      <w:r w:rsidRPr="00DB1750">
        <w:t>7.</w:t>
      </w:r>
      <w:r w:rsidRPr="00DB1750">
        <w:tab/>
      </w:r>
      <w:r w:rsidR="00A367A2" w:rsidRPr="00DB1750">
        <w:t>Σώρευση</w:t>
      </w:r>
    </w:p>
    <w:p w:rsidR="00A367A2" w:rsidRPr="00DB1750" w:rsidRDefault="00A367A2" w:rsidP="00685585">
      <w:pPr>
        <w:ind w:left="284"/>
        <w:jc w:val="both"/>
      </w:pPr>
      <w:r w:rsidRPr="00DB1750">
        <w:t xml:space="preserve">Η Δ.Α. πρέπει να επιβεβαιώνει κάθε φορά ότι τηρούνται τα όρια κοινοποίησης του σημείου 4 ανωτέρω και οι μέγιστες εντάσεις ενίσχυσης του εφαρμοστέου κάθε φορά άρθρου του ειδικού μέρους του ΓΑΚ. </w:t>
      </w:r>
    </w:p>
    <w:p w:rsidR="00685585" w:rsidRPr="00DB1750" w:rsidRDefault="00685585" w:rsidP="00685585">
      <w:pPr>
        <w:ind w:firstLine="284"/>
        <w:jc w:val="both"/>
        <w:rPr>
          <w:lang w:val="en-US"/>
        </w:rPr>
      </w:pPr>
    </w:p>
    <w:p w:rsidR="00A367A2" w:rsidRPr="00DB1750" w:rsidRDefault="00A367A2" w:rsidP="00685585">
      <w:pPr>
        <w:ind w:firstLine="284"/>
        <w:jc w:val="both"/>
      </w:pPr>
      <w:r w:rsidRPr="00DB1750">
        <w:t>Για τον σκοπό αυτό:</w:t>
      </w:r>
    </w:p>
    <w:p w:rsidR="00A367A2" w:rsidRPr="00DB1750" w:rsidRDefault="00A367A2" w:rsidP="00685585">
      <w:pPr>
        <w:pStyle w:val="a3"/>
        <w:numPr>
          <w:ilvl w:val="0"/>
          <w:numId w:val="4"/>
        </w:numPr>
        <w:ind w:left="567" w:hanging="283"/>
        <w:jc w:val="both"/>
      </w:pPr>
      <w:r w:rsidRPr="00DB1750">
        <w:t>Για τα όρια και τις μέγιστες εντάσεις ενίσχυσης λαμβάνεται υπόψη</w:t>
      </w:r>
      <w:r w:rsidR="008A2388" w:rsidRPr="00DB1750">
        <w:t xml:space="preserve"> το συνολικό ποσό της ενίσχυσης</w:t>
      </w:r>
    </w:p>
    <w:p w:rsidR="00A367A2" w:rsidRPr="00DB1750" w:rsidRDefault="00A367A2" w:rsidP="00685585">
      <w:pPr>
        <w:pStyle w:val="a3"/>
        <w:numPr>
          <w:ilvl w:val="0"/>
          <w:numId w:val="4"/>
        </w:numPr>
        <w:ind w:left="567" w:hanging="283"/>
        <w:jc w:val="both"/>
      </w:pPr>
      <w:r w:rsidRPr="00DB1750">
        <w:t xml:space="preserve">Εάν </w:t>
      </w:r>
      <w:proofErr w:type="spellStart"/>
      <w:r w:rsidRPr="00DB1750">
        <w:t>ενωσιακή</w:t>
      </w:r>
      <w:proofErr w:type="spellEnd"/>
      <w:r w:rsidRPr="00DB1750">
        <w:t xml:space="preserve"> χρηματοδότηση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w:t>
      </w:r>
      <w:r w:rsidR="008A2388" w:rsidRPr="00DB1750">
        <w:t xml:space="preserve">ανόνες της </w:t>
      </w:r>
      <w:proofErr w:type="spellStart"/>
      <w:r w:rsidR="008A2388" w:rsidRPr="00DB1750">
        <w:t>ενωσιακής</w:t>
      </w:r>
      <w:proofErr w:type="spellEnd"/>
      <w:r w:rsidR="008A2388" w:rsidRPr="00DB1750">
        <w:t xml:space="preserve"> νομοθεσίας</w:t>
      </w:r>
    </w:p>
    <w:p w:rsidR="00A367A2" w:rsidRPr="00DB1750" w:rsidRDefault="00A367A2" w:rsidP="00685585">
      <w:pPr>
        <w:pStyle w:val="a3"/>
        <w:numPr>
          <w:ilvl w:val="0"/>
          <w:numId w:val="4"/>
        </w:numPr>
        <w:ind w:left="567" w:hanging="283"/>
        <w:jc w:val="both"/>
      </w:pPr>
      <w:r w:rsidRPr="00DB1750">
        <w:t>Οι απαλλασσόμενες ενισχύσεις μπορούν να σωρευθούν με οποιεσδήποτε άλλες κρατικές ενισχύσεις, εάν πρόκειται για διαφ</w:t>
      </w:r>
      <w:r w:rsidR="008A2388" w:rsidRPr="00DB1750">
        <w:t xml:space="preserve">ορετικές </w:t>
      </w:r>
      <w:proofErr w:type="spellStart"/>
      <w:r w:rsidR="008A2388" w:rsidRPr="00DB1750">
        <w:t>προσδιορίσιμες</w:t>
      </w:r>
      <w:proofErr w:type="spellEnd"/>
      <w:r w:rsidR="008A2388" w:rsidRPr="00DB1750">
        <w:t xml:space="preserve"> δαπάνες</w:t>
      </w:r>
    </w:p>
    <w:p w:rsidR="00A367A2" w:rsidRPr="00DB1750" w:rsidRDefault="00A367A2" w:rsidP="00685585">
      <w:pPr>
        <w:pStyle w:val="a3"/>
        <w:numPr>
          <w:ilvl w:val="0"/>
          <w:numId w:val="4"/>
        </w:numPr>
        <w:ind w:left="567" w:hanging="283"/>
        <w:jc w:val="both"/>
      </w:pPr>
      <w:r w:rsidRPr="00DB1750">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w:t>
      </w:r>
      <w:r w:rsidR="008A2388" w:rsidRPr="00DB1750">
        <w:t xml:space="preserve"> εφαρμόζεται στην ενίσχυση αυτή</w:t>
      </w:r>
    </w:p>
    <w:p w:rsidR="00A367A2" w:rsidRPr="00DB1750" w:rsidRDefault="00A367A2" w:rsidP="00685585">
      <w:pPr>
        <w:pStyle w:val="a3"/>
        <w:numPr>
          <w:ilvl w:val="0"/>
          <w:numId w:val="4"/>
        </w:numPr>
        <w:ind w:left="567" w:hanging="283"/>
        <w:jc w:val="both"/>
      </w:pPr>
      <w:r w:rsidRPr="00DB1750">
        <w:t>Οι κρατικές ενισχύσεις που τυγχάνουν απαλλαγής δυνάμει του ΓΑΚ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ΓΑΚ.</w:t>
      </w:r>
    </w:p>
    <w:p w:rsidR="00A367A2" w:rsidRPr="00DB1750" w:rsidRDefault="00A367A2" w:rsidP="008A2388">
      <w:pPr>
        <w:jc w:val="both"/>
      </w:pPr>
      <w:r w:rsidRPr="00DB1750">
        <w:t>Οι ανωτέρω υποχρεώσεις θα επιβεβαιώνονται κατά την αξιολόγηση των προτάσεων και την καταβολή των ενισχύσεων.</w:t>
      </w:r>
    </w:p>
    <w:p w:rsidR="00A367A2" w:rsidRPr="00DB1750" w:rsidRDefault="00A367A2" w:rsidP="008A2388">
      <w:pPr>
        <w:jc w:val="both"/>
      </w:pPr>
    </w:p>
    <w:p w:rsidR="00A367A2" w:rsidRPr="00DB1750" w:rsidRDefault="00A367A2" w:rsidP="00685585">
      <w:pPr>
        <w:ind w:left="284" w:hanging="284"/>
        <w:jc w:val="both"/>
      </w:pPr>
      <w:r w:rsidRPr="00DB1750">
        <w:t>8.  Δημοσίευση και πληροφορίες - Υποβολή εκθέσεων</w:t>
      </w:r>
    </w:p>
    <w:p w:rsidR="00A367A2" w:rsidRPr="00DB1750" w:rsidRDefault="00A367A2" w:rsidP="00685585">
      <w:pPr>
        <w:ind w:left="284"/>
        <w:jc w:val="both"/>
      </w:pPr>
      <w:r w:rsidRPr="00DB1750">
        <w:t>Η Δ.Α. έχει υποχρέωση δημοσίευσης στο δικτυακό τόπο για τις κρατικές ενισχύσεις, σε εθνικό ή περιφερειακό επίπεδο, τα εξής:</w:t>
      </w:r>
    </w:p>
    <w:p w:rsidR="00A367A2" w:rsidRPr="00DB1750" w:rsidRDefault="00A367A2" w:rsidP="00685585">
      <w:pPr>
        <w:ind w:left="567" w:hanging="283"/>
        <w:jc w:val="both"/>
      </w:pPr>
      <w:r w:rsidRPr="00DB1750">
        <w:t>α) συνοπτικές πληροφορίες ή σύνδεσμο που παρέχει πρόσβαση σ</w:t>
      </w:r>
      <w:r w:rsidR="00685585" w:rsidRPr="00DB1750">
        <w:t>ε αυτές</w:t>
      </w:r>
    </w:p>
    <w:p w:rsidR="00A367A2" w:rsidRPr="00DB1750" w:rsidRDefault="00A367A2" w:rsidP="00685585">
      <w:pPr>
        <w:ind w:left="567" w:hanging="283"/>
        <w:jc w:val="both"/>
      </w:pPr>
      <w:r w:rsidRPr="00DB1750">
        <w:t>β) το πλήρες κείμενο κάθε μέτρου ενίσχυσης ή σύνδεσμο που παρέ</w:t>
      </w:r>
      <w:r w:rsidR="00685585" w:rsidRPr="00DB1750">
        <w:t>χει πρόσβαση στο πλήρες κείμενο</w:t>
      </w:r>
    </w:p>
    <w:p w:rsidR="00A367A2" w:rsidRPr="00DB1750" w:rsidRDefault="00A367A2" w:rsidP="00685585">
      <w:pPr>
        <w:ind w:left="567" w:hanging="283"/>
        <w:jc w:val="both"/>
      </w:pPr>
      <w:r w:rsidRPr="00DB1750">
        <w:lastRenderedPageBreak/>
        <w:t>γ) πληροφορίες για κάθε χορήγηση μεμονωμένης ενίσχυσης που υπερβαίνει τα 500 000 ευρώ.</w:t>
      </w:r>
    </w:p>
    <w:p w:rsidR="00A367A2" w:rsidRPr="00DB1750" w:rsidRDefault="00A367A2" w:rsidP="00685585">
      <w:pPr>
        <w:ind w:left="284"/>
        <w:jc w:val="both"/>
      </w:pPr>
      <w:r w:rsidRPr="00DB1750">
        <w:t xml:space="preserve">Ο δικαιούχος έχει υποχρέωση να αποδεχθεί τη δημοσίευση των στοιχείων του σημείου γ) </w:t>
      </w:r>
    </w:p>
    <w:p w:rsidR="00A367A2" w:rsidRPr="00DB1750" w:rsidRDefault="00A367A2" w:rsidP="008A2388">
      <w:pPr>
        <w:jc w:val="both"/>
      </w:pPr>
    </w:p>
    <w:p w:rsidR="00A367A2" w:rsidRPr="00DB1750" w:rsidRDefault="00A367A2" w:rsidP="008A2388">
      <w:pPr>
        <w:jc w:val="both"/>
      </w:pPr>
      <w:r w:rsidRPr="00DB1750">
        <w:t>Β. Υποχρεώσεις Ειδικού μέρους του ΓΑΚ</w:t>
      </w:r>
    </w:p>
    <w:p w:rsidR="00A367A2" w:rsidRPr="00DB1750" w:rsidRDefault="00A367A2" w:rsidP="008A2388">
      <w:pPr>
        <w:jc w:val="both"/>
      </w:pPr>
      <w:r w:rsidRPr="00DB1750">
        <w:t>Πρέπει να τηρούνται οι προϋποθέσεις συμβατότητας που πηγάζουν από τις διατάξεις του  άρθρου  53  του ειδικού μέρους του ΓΑΚ που πρόκειται να εφαρμοσθεί.</w:t>
      </w:r>
    </w:p>
    <w:p w:rsidR="00A367A2" w:rsidRPr="00DB1750" w:rsidRDefault="00A367A2" w:rsidP="008A2388">
      <w:pPr>
        <w:jc w:val="both"/>
      </w:pPr>
    </w:p>
    <w:p w:rsidR="00967A37" w:rsidRPr="00DB1750" w:rsidRDefault="00967A37" w:rsidP="008A2388">
      <w:pPr>
        <w:jc w:val="both"/>
      </w:pPr>
    </w:p>
    <w:sectPr w:rsidR="00967A37" w:rsidRPr="00DB1750" w:rsidSect="00E27F72">
      <w:pgSz w:w="11906" w:h="16838"/>
      <w:pgMar w:top="1440" w:right="1800" w:bottom="144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91"/>
    <w:multiLevelType w:val="hybridMultilevel"/>
    <w:tmpl w:val="8648034A"/>
    <w:lvl w:ilvl="0" w:tplc="53E03E0A">
      <w:numFmt w:val="bullet"/>
      <w:lvlText w:val="-"/>
      <w:lvlJc w:val="left"/>
      <w:pPr>
        <w:ind w:left="1095" w:hanging="735"/>
      </w:pPr>
      <w:rPr>
        <w:rFonts w:ascii="Calibri" w:eastAsiaTheme="minorHAnsi"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DFE7FB9"/>
    <w:multiLevelType w:val="hybridMultilevel"/>
    <w:tmpl w:val="5CBE3902"/>
    <w:lvl w:ilvl="0" w:tplc="431C0F76">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2090C7E"/>
    <w:multiLevelType w:val="hybridMultilevel"/>
    <w:tmpl w:val="D6AAB0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A930543"/>
    <w:multiLevelType w:val="hybridMultilevel"/>
    <w:tmpl w:val="DAAC7F80"/>
    <w:lvl w:ilvl="0" w:tplc="AABC66B6">
      <w:start w:val="1"/>
      <w:numFmt w:val="bullet"/>
      <w:lvlText w:val="-"/>
      <w:lvlJc w:val="left"/>
      <w:pPr>
        <w:ind w:left="1125" w:hanging="765"/>
      </w:pPr>
      <w:rPr>
        <w:rFonts w:ascii="Calibri" w:eastAsiaTheme="minorHAnsi"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B3F4970"/>
    <w:multiLevelType w:val="hybridMultilevel"/>
    <w:tmpl w:val="1CA8D18C"/>
    <w:lvl w:ilvl="0" w:tplc="AABC66B6">
      <w:start w:val="1"/>
      <w:numFmt w:val="bullet"/>
      <w:lvlText w:val="-"/>
      <w:lvlJc w:val="left"/>
      <w:pPr>
        <w:ind w:left="1485" w:hanging="765"/>
      </w:pPr>
      <w:rPr>
        <w:rFonts w:ascii="Calibri" w:eastAsiaTheme="minorHAns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38A25CAE"/>
    <w:multiLevelType w:val="hybridMultilevel"/>
    <w:tmpl w:val="A5DA17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94677CC"/>
    <w:multiLevelType w:val="hybridMultilevel"/>
    <w:tmpl w:val="334EBE48"/>
    <w:lvl w:ilvl="0" w:tplc="53E03E0A">
      <w:numFmt w:val="bullet"/>
      <w:lvlText w:val="-"/>
      <w:lvlJc w:val="left"/>
      <w:pPr>
        <w:ind w:left="1455" w:hanging="735"/>
      </w:pPr>
      <w:rPr>
        <w:rFonts w:ascii="Calibri" w:eastAsiaTheme="minorHAns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3EE465F1"/>
    <w:multiLevelType w:val="hybridMultilevel"/>
    <w:tmpl w:val="35403038"/>
    <w:lvl w:ilvl="0" w:tplc="53E03E0A">
      <w:numFmt w:val="bullet"/>
      <w:lvlText w:val="-"/>
      <w:lvlJc w:val="left"/>
      <w:pPr>
        <w:ind w:left="1455" w:hanging="735"/>
      </w:pPr>
      <w:rPr>
        <w:rFonts w:ascii="Calibri" w:eastAsiaTheme="minorHAnsi" w:hAnsi="Calibri"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4DF03DBB"/>
    <w:multiLevelType w:val="hybridMultilevel"/>
    <w:tmpl w:val="66E26D72"/>
    <w:lvl w:ilvl="0" w:tplc="53E03E0A">
      <w:numFmt w:val="bullet"/>
      <w:lvlText w:val="-"/>
      <w:lvlJc w:val="left"/>
      <w:pPr>
        <w:ind w:left="1095" w:hanging="735"/>
      </w:pPr>
      <w:rPr>
        <w:rFonts w:ascii="Calibri" w:eastAsiaTheme="minorHAnsi"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7"/>
  </w:num>
  <w:num w:numId="5">
    <w:abstractNumId w:val="2"/>
  </w:num>
  <w:num w:numId="6">
    <w:abstractNumId w:val="1"/>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7A2"/>
    <w:rsid w:val="00271B2E"/>
    <w:rsid w:val="003107C6"/>
    <w:rsid w:val="004073AE"/>
    <w:rsid w:val="00685585"/>
    <w:rsid w:val="00723154"/>
    <w:rsid w:val="008A2388"/>
    <w:rsid w:val="00904576"/>
    <w:rsid w:val="009252DE"/>
    <w:rsid w:val="00967A37"/>
    <w:rsid w:val="00A367A2"/>
    <w:rsid w:val="00DB1750"/>
    <w:rsid w:val="00E27F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7A2"/>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23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7A2"/>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23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0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876</Words>
  <Characters>4734</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ΚΡΗΤΙΚΟΥ ΕΛΕΝΗ</dc:creator>
  <cp:lastModifiedBy>ΚΑΡΑΚΑΣΗΣ ΧΡΗΣΤΟΣ</cp:lastModifiedBy>
  <cp:revision>2</cp:revision>
  <dcterms:created xsi:type="dcterms:W3CDTF">2017-11-30T14:02:00Z</dcterms:created>
  <dcterms:modified xsi:type="dcterms:W3CDTF">2017-11-30T14:02:00Z</dcterms:modified>
</cp:coreProperties>
</file>