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EBC" w:rsidRPr="00386155" w:rsidRDefault="00E76EBC" w:rsidP="00E76EBC">
      <w:pPr>
        <w:pStyle w:val="3"/>
        <w:spacing w:before="0" w:after="120"/>
        <w:rPr>
          <w:color w:val="244061" w:themeColor="accent1" w:themeShade="80"/>
        </w:rPr>
      </w:pPr>
      <w:r w:rsidRPr="00386155">
        <w:rPr>
          <w:color w:val="244061" w:themeColor="accent1" w:themeShade="80"/>
        </w:rPr>
        <w:t>Υπομέτρο 7.3: Ανάπτυξη ευρυζωνικών υποδομών στις αγροτικές περιοχές</w:t>
      </w:r>
    </w:p>
    <w:p w:rsidR="00E76EBC" w:rsidRPr="00386155" w:rsidRDefault="00E76EBC" w:rsidP="00E76EBC">
      <w:pPr>
        <w:rPr>
          <w:rFonts w:ascii="Cambria" w:hAnsi="Cambria" w:cs="Cambria"/>
          <w:color w:val="244061" w:themeColor="accent1" w:themeShade="80"/>
          <w:lang w:eastAsia="el-GR"/>
        </w:rPr>
      </w:pPr>
      <w:r w:rsidRPr="00386155">
        <w:rPr>
          <w:rFonts w:ascii="Cambria" w:hAnsi="Cambria" w:cs="Cambria"/>
          <w:color w:val="244061" w:themeColor="accent1" w:themeShade="80"/>
          <w:lang w:eastAsia="el-GR"/>
        </w:rPr>
        <w:t>Το υπομέτρο αφορά στη δημιουργία, βελτίωση ή επέκταση ευρυζωνικών υποδομών δικτύων NGA για την κάλυψη των αγροτικών περιοχών (βλ. λευκές NGA περιοχές-οικισμοί), συνεισφέροντας στην πρόσβαση σε γνώση, πληροφορίες και υπηρεσίες με το μικρότερο δυνατό κόστος και την εν γένει άρση του απομονωτισμού.</w:t>
      </w:r>
    </w:p>
    <w:p w:rsidR="00E76EBC" w:rsidRPr="00386155" w:rsidRDefault="00E76EBC" w:rsidP="00E76EBC">
      <w:pPr>
        <w:pStyle w:val="6"/>
        <w:spacing w:before="0" w:after="120"/>
        <w:rPr>
          <w:rStyle w:val="a3"/>
          <w:color w:val="244061" w:themeColor="accent1" w:themeShade="80"/>
        </w:rPr>
      </w:pPr>
      <w:r w:rsidRPr="00386155">
        <w:rPr>
          <w:rStyle w:val="a3"/>
          <w:color w:val="244061" w:themeColor="accent1" w:themeShade="80"/>
        </w:rPr>
        <w:t>Όροι Επιλεξιμότητας</w:t>
      </w:r>
    </w:p>
    <w:p w:rsidR="00E76EBC" w:rsidRPr="00386155" w:rsidRDefault="00E76EBC" w:rsidP="00E76EBC">
      <w:pPr>
        <w:numPr>
          <w:ilvl w:val="0"/>
          <w:numId w:val="1"/>
        </w:numPr>
        <w:ind w:left="426" w:hanging="426"/>
        <w:rPr>
          <w:rFonts w:ascii="Cambria" w:hAnsi="Cambria" w:cs="Cambria"/>
          <w:color w:val="244061" w:themeColor="accent1" w:themeShade="80"/>
          <w:lang w:eastAsia="el-GR"/>
        </w:rPr>
      </w:pPr>
      <w:r w:rsidRPr="00386155">
        <w:rPr>
          <w:rFonts w:ascii="Cambria" w:hAnsi="Cambria" w:cs="Cambria"/>
          <w:color w:val="244061" w:themeColor="accent1" w:themeShade="80"/>
          <w:lang w:eastAsia="el-GR"/>
        </w:rPr>
        <w:t xml:space="preserve">Τα έργα αφορούν αγροτικές περιοχές, ήτοι οι 22 Νομοί (NUTS 3) έτσι όπως καταγράφονται στο σχετικό Πίνακα στο Πεδίο Περιγραφής του Μέτρου (General </w:t>
      </w:r>
      <w:proofErr w:type="spellStart"/>
      <w:r w:rsidRPr="00386155">
        <w:rPr>
          <w:rFonts w:ascii="Cambria" w:hAnsi="Cambria" w:cs="Cambria"/>
          <w:color w:val="244061" w:themeColor="accent1" w:themeShade="80"/>
          <w:lang w:eastAsia="el-GR"/>
        </w:rPr>
        <w:t>description</w:t>
      </w:r>
      <w:proofErr w:type="spellEnd"/>
      <w:r w:rsidRPr="00386155">
        <w:rPr>
          <w:rFonts w:ascii="Cambria" w:hAnsi="Cambria" w:cs="Cambria"/>
          <w:color w:val="244061" w:themeColor="accent1" w:themeShade="80"/>
          <w:lang w:eastAsia="el-GR"/>
        </w:rPr>
        <w:t xml:space="preserve"> of </w:t>
      </w:r>
      <w:proofErr w:type="spellStart"/>
      <w:r w:rsidRPr="00386155">
        <w:rPr>
          <w:rFonts w:ascii="Cambria" w:hAnsi="Cambria" w:cs="Cambria"/>
          <w:color w:val="244061" w:themeColor="accent1" w:themeShade="80"/>
          <w:lang w:eastAsia="el-GR"/>
        </w:rPr>
        <w:t>the</w:t>
      </w:r>
      <w:proofErr w:type="spellEnd"/>
      <w:r w:rsidRPr="00386155">
        <w:rPr>
          <w:rFonts w:ascii="Cambria" w:hAnsi="Cambria" w:cs="Cambria"/>
          <w:color w:val="244061" w:themeColor="accent1" w:themeShade="80"/>
          <w:lang w:eastAsia="el-GR"/>
        </w:rPr>
        <w:t xml:space="preserve"> </w:t>
      </w:r>
      <w:proofErr w:type="spellStart"/>
      <w:r w:rsidRPr="00386155">
        <w:rPr>
          <w:rFonts w:ascii="Cambria" w:hAnsi="Cambria" w:cs="Cambria"/>
          <w:color w:val="244061" w:themeColor="accent1" w:themeShade="80"/>
          <w:lang w:eastAsia="el-GR"/>
        </w:rPr>
        <w:t>measure</w:t>
      </w:r>
      <w:proofErr w:type="spellEnd"/>
      <w:r w:rsidRPr="00386155">
        <w:rPr>
          <w:rFonts w:ascii="Cambria" w:hAnsi="Cambria" w:cs="Cambria"/>
          <w:color w:val="244061" w:themeColor="accent1" w:themeShade="80"/>
          <w:lang w:eastAsia="el-GR"/>
        </w:rPr>
        <w:t>)</w:t>
      </w:r>
      <w:r>
        <w:rPr>
          <w:rFonts w:ascii="Cambria" w:hAnsi="Cambria" w:cs="Cambria"/>
          <w:color w:val="244061" w:themeColor="accent1" w:themeShade="80"/>
          <w:lang w:eastAsia="el-GR"/>
        </w:rPr>
        <w:t xml:space="preserve">, </w:t>
      </w:r>
      <w:r w:rsidRPr="00386155">
        <w:rPr>
          <w:rFonts w:ascii="Cambria" w:hAnsi="Cambria" w:cs="Cambria"/>
          <w:color w:val="244061" w:themeColor="accent1" w:themeShade="80"/>
          <w:lang w:eastAsia="el-GR"/>
        </w:rPr>
        <w:t>ως «Κυρίαρχα Αγροτικές ορεινές ή /και νησιωτικές περιοχές».</w:t>
      </w:r>
    </w:p>
    <w:p w:rsidR="00E76EBC" w:rsidRPr="00386155" w:rsidRDefault="00E76EBC" w:rsidP="00E76EBC">
      <w:pPr>
        <w:numPr>
          <w:ilvl w:val="0"/>
          <w:numId w:val="1"/>
        </w:numPr>
        <w:ind w:left="426" w:hanging="426"/>
        <w:rPr>
          <w:rFonts w:ascii="Cambria" w:hAnsi="Cambria" w:cs="Cambria"/>
          <w:color w:val="244061" w:themeColor="accent1" w:themeShade="80"/>
          <w:lang w:eastAsia="el-GR"/>
        </w:rPr>
      </w:pPr>
      <w:r w:rsidRPr="00386155">
        <w:rPr>
          <w:rFonts w:ascii="Cambria" w:hAnsi="Cambria" w:cs="Cambria"/>
          <w:color w:val="244061" w:themeColor="accent1" w:themeShade="80"/>
          <w:lang w:eastAsia="el-GR"/>
        </w:rPr>
        <w:t xml:space="preserve">Στους παραπάνω αναφερόμενους Νομούς, επιλέξιμοι είναι «λευκοί NGA» οικισμοί, οι οποίοι έχουν προκύψει ύστερα από σχετική λεπτομερή χαρτογράφηση και ανάλυση της κάλυψης σε συνδυασμό με διενέργεια διαβούλευσης (βλ. Κατευθυντήριες Γραμμές για τα </w:t>
      </w:r>
      <w:proofErr w:type="spellStart"/>
      <w:r w:rsidRPr="00386155">
        <w:rPr>
          <w:rFonts w:ascii="Cambria" w:hAnsi="Cambria" w:cs="Cambria"/>
          <w:color w:val="244061" w:themeColor="accent1" w:themeShade="80"/>
          <w:lang w:eastAsia="el-GR"/>
        </w:rPr>
        <w:t>ευρυζωνικά</w:t>
      </w:r>
      <w:proofErr w:type="spellEnd"/>
      <w:r w:rsidRPr="00386155">
        <w:rPr>
          <w:rFonts w:ascii="Cambria" w:hAnsi="Cambria" w:cs="Cambria"/>
          <w:color w:val="244061" w:themeColor="accent1" w:themeShade="80"/>
          <w:lang w:eastAsia="el-GR"/>
        </w:rPr>
        <w:t xml:space="preserve"> δίκτυα: 2013/C 25/01). Δεν είναι επιλέξιμοι οικισμοί (σε επίπεδο τοπικών ή δημοτικών κοινοτήτων) με πληθυσμό πάνω από 15.000 κάτοικοι ή αυτοί που προβλέπεται να καλυφθούν από το υλοποιούμενο έργο RURAL  BROADBAND.</w:t>
      </w:r>
    </w:p>
    <w:p w:rsidR="00E76EBC" w:rsidRPr="00386155" w:rsidRDefault="00E76EBC" w:rsidP="00E76EBC">
      <w:pPr>
        <w:numPr>
          <w:ilvl w:val="0"/>
          <w:numId w:val="1"/>
        </w:numPr>
        <w:ind w:left="426" w:hanging="426"/>
        <w:rPr>
          <w:rFonts w:ascii="Cambria" w:hAnsi="Cambria" w:cs="Cambria"/>
          <w:color w:val="244061" w:themeColor="accent1" w:themeShade="80"/>
          <w:lang w:eastAsia="el-GR"/>
        </w:rPr>
      </w:pPr>
      <w:r w:rsidRPr="00386155">
        <w:rPr>
          <w:rFonts w:ascii="Cambria" w:hAnsi="Cambria" w:cs="Cambria"/>
          <w:color w:val="244061" w:themeColor="accent1" w:themeShade="80"/>
          <w:lang w:eastAsia="el-GR"/>
        </w:rPr>
        <w:t xml:space="preserve">Θα πρέπει να τηρούνται οι λοιπές προϋποθέσεις για κρατική παρέμβαση στις </w:t>
      </w:r>
      <w:proofErr w:type="spellStart"/>
      <w:r w:rsidRPr="00386155">
        <w:rPr>
          <w:rFonts w:ascii="Cambria" w:hAnsi="Cambria" w:cs="Cambria"/>
          <w:color w:val="244061" w:themeColor="accent1" w:themeShade="80"/>
          <w:lang w:eastAsia="el-GR"/>
        </w:rPr>
        <w:t>ευρυζωνικές</w:t>
      </w:r>
      <w:proofErr w:type="spellEnd"/>
      <w:r w:rsidRPr="00386155">
        <w:rPr>
          <w:rFonts w:ascii="Cambria" w:hAnsi="Cambria" w:cs="Cambria"/>
          <w:color w:val="244061" w:themeColor="accent1" w:themeShade="80"/>
          <w:lang w:eastAsia="el-GR"/>
        </w:rPr>
        <w:t xml:space="preserve"> υποδομές (όπως τεχνολογική ουδετερότητα, χρήση υφιστάμενων δικτύων, διενέργεια διαβούλευσης, μη ύπαρξη επενδυτικού ενδιαφέροντος, τήρηση διαδικασιών «μεγάλου έργου» κλπ).</w:t>
      </w:r>
    </w:p>
    <w:p w:rsidR="00E76EBC" w:rsidRPr="006B083A" w:rsidRDefault="00E76EBC" w:rsidP="00E76EBC">
      <w:pPr>
        <w:numPr>
          <w:ilvl w:val="0"/>
          <w:numId w:val="1"/>
        </w:numPr>
        <w:ind w:left="426" w:hanging="426"/>
        <w:rPr>
          <w:rFonts w:ascii="Cambria" w:hAnsi="Cambria" w:cs="Cambria"/>
          <w:color w:val="244061" w:themeColor="accent1" w:themeShade="80"/>
          <w:lang w:eastAsia="el-GR"/>
        </w:rPr>
      </w:pPr>
      <w:r w:rsidRPr="006B083A">
        <w:rPr>
          <w:rFonts w:ascii="Cambria" w:hAnsi="Cambria" w:cs="Cambria"/>
          <w:color w:val="244061" w:themeColor="accent1" w:themeShade="80"/>
          <w:lang w:eastAsia="el-GR"/>
        </w:rPr>
        <w:t>Επίσης, κατά την εξέταση του φακέλου υποψηφιότητας θα πρέπει να εκπληρώνονται οι ακόλουθοι όροι, όπως αυτοί θα αναλυθούν περαιτέρω στη σχετική πρόσκληση:</w:t>
      </w:r>
    </w:p>
    <w:p w:rsidR="00E76EBC" w:rsidRPr="00B46F4B" w:rsidRDefault="00E76EBC" w:rsidP="00E76EBC">
      <w:pPr>
        <w:ind w:left="426"/>
        <w:rPr>
          <w:rFonts w:ascii="Cambria" w:hAnsi="Cambria" w:cs="Cambria"/>
          <w:color w:val="244061" w:themeColor="accent1" w:themeShade="80"/>
          <w:lang w:eastAsia="el-GR"/>
        </w:rPr>
      </w:pPr>
      <w:r w:rsidRPr="00B46F4B">
        <w:rPr>
          <w:rFonts w:ascii="Cambria" w:hAnsi="Cambria" w:cs="Cambria"/>
          <w:color w:val="244061" w:themeColor="accent1" w:themeShade="80"/>
          <w:lang w:eastAsia="el-GR"/>
        </w:rPr>
        <w:t>α) τυπική πληρότητα και επιλεξιμότητα της πρότασης  (όπως εντός επιλέξιμης περιόδου και ορίου προϋπολογισμού και επιλεξιμότητας δικαιούχων, τήρηση της αρχής της μη διπλής χρηματοδότησης),</w:t>
      </w:r>
    </w:p>
    <w:p w:rsidR="00E76EBC" w:rsidRPr="00B46F4B" w:rsidRDefault="00E76EBC" w:rsidP="00E76EBC">
      <w:pPr>
        <w:ind w:left="426"/>
        <w:rPr>
          <w:rFonts w:ascii="Cambria" w:hAnsi="Cambria" w:cs="Cambria"/>
          <w:color w:val="244061" w:themeColor="accent1" w:themeShade="80"/>
          <w:lang w:eastAsia="el-GR"/>
        </w:rPr>
      </w:pPr>
      <w:r w:rsidRPr="00B46F4B">
        <w:rPr>
          <w:rFonts w:ascii="Cambria" w:hAnsi="Cambria" w:cs="Cambria"/>
          <w:color w:val="244061" w:themeColor="accent1" w:themeShade="80"/>
          <w:lang w:eastAsia="el-GR"/>
        </w:rPr>
        <w:t>β) πληρότητα και σαφήνεια του περιεχομένου πρότασης, συμπεριλαμβανομένης της  ρεαλιστικότητας του πλαισίου υλοποίησης αυτής, </w:t>
      </w:r>
    </w:p>
    <w:p w:rsidR="00E76EBC" w:rsidRPr="00B46F4B" w:rsidRDefault="00E76EBC" w:rsidP="00E76EBC">
      <w:pPr>
        <w:ind w:left="426"/>
        <w:rPr>
          <w:rFonts w:ascii="Cambria" w:hAnsi="Cambria" w:cs="Cambria"/>
          <w:color w:val="244061" w:themeColor="accent1" w:themeShade="80"/>
          <w:lang w:eastAsia="el-GR"/>
        </w:rPr>
      </w:pPr>
      <w:r w:rsidRPr="00B46F4B">
        <w:rPr>
          <w:rFonts w:ascii="Cambria" w:hAnsi="Cambria" w:cs="Cambria"/>
          <w:color w:val="244061" w:themeColor="accent1" w:themeShade="80"/>
          <w:lang w:eastAsia="el-GR"/>
        </w:rPr>
        <w:t xml:space="preserve">γ) συμβατότητα με το εθνικό και κοινοτικό θεσμικό πλαίσιο και τήρηση οριζοντίων αρχών (βλ. ισότητα, </w:t>
      </w:r>
      <w:proofErr w:type="spellStart"/>
      <w:r w:rsidRPr="00B46F4B">
        <w:rPr>
          <w:rFonts w:ascii="Cambria" w:hAnsi="Cambria" w:cs="Cambria"/>
          <w:color w:val="244061" w:themeColor="accent1" w:themeShade="80"/>
          <w:lang w:eastAsia="el-GR"/>
        </w:rPr>
        <w:t>αειφορία</w:t>
      </w:r>
      <w:proofErr w:type="spellEnd"/>
      <w:r w:rsidRPr="00B46F4B">
        <w:rPr>
          <w:rFonts w:ascii="Cambria" w:hAnsi="Cambria" w:cs="Cambria"/>
          <w:color w:val="244061" w:themeColor="accent1" w:themeShade="80"/>
          <w:lang w:eastAsia="el-GR"/>
        </w:rPr>
        <w:t>, προσβασιμότητα),</w:t>
      </w:r>
    </w:p>
    <w:p w:rsidR="00E76EBC" w:rsidRPr="00B46F4B" w:rsidRDefault="00E76EBC" w:rsidP="00E76EBC">
      <w:pPr>
        <w:ind w:left="426"/>
        <w:rPr>
          <w:rFonts w:ascii="Cambria" w:hAnsi="Cambria" w:cs="Cambria"/>
          <w:color w:val="244061" w:themeColor="accent1" w:themeShade="80"/>
          <w:lang w:eastAsia="el-GR"/>
        </w:rPr>
      </w:pPr>
      <w:r w:rsidRPr="00B46F4B">
        <w:rPr>
          <w:rFonts w:ascii="Cambria" w:hAnsi="Cambria" w:cs="Cambria"/>
          <w:color w:val="244061" w:themeColor="accent1" w:themeShade="80"/>
          <w:lang w:eastAsia="el-GR"/>
        </w:rPr>
        <w:t>δ) τήρηση όρων ως προς την σκοπιμότητα  (όπως αποδοτικότητα, αποτελεσματικότητα, βιωσιμότητα, λειτουργικότητα και αξιοποίηση παρέμβασης), </w:t>
      </w:r>
    </w:p>
    <w:p w:rsidR="00E76EBC" w:rsidRPr="00B46F4B" w:rsidRDefault="00E76EBC" w:rsidP="00E76EBC">
      <w:pPr>
        <w:ind w:left="426"/>
        <w:rPr>
          <w:rFonts w:ascii="Cambria" w:hAnsi="Cambria" w:cs="Cambria"/>
          <w:color w:val="244061" w:themeColor="accent1" w:themeShade="80"/>
          <w:lang w:eastAsia="el-GR"/>
        </w:rPr>
      </w:pPr>
      <w:r w:rsidRPr="00B46F4B">
        <w:rPr>
          <w:rFonts w:ascii="Cambria" w:hAnsi="Cambria" w:cs="Cambria"/>
          <w:color w:val="244061" w:themeColor="accent1" w:themeShade="80"/>
          <w:lang w:eastAsia="el-GR"/>
        </w:rPr>
        <w:t>ε) ωριμότητας πρότασης (ως προς προπαρασκευαστικές ή άλλες ενέργειες),</w:t>
      </w:r>
    </w:p>
    <w:p w:rsidR="00E76EBC" w:rsidRPr="00B46F4B" w:rsidRDefault="00E76EBC" w:rsidP="00E76EBC">
      <w:pPr>
        <w:ind w:left="426"/>
        <w:rPr>
          <w:rFonts w:ascii="Cambria" w:hAnsi="Cambria" w:cs="Cambria"/>
          <w:color w:val="244061" w:themeColor="accent1" w:themeShade="80"/>
          <w:lang w:eastAsia="el-GR"/>
        </w:rPr>
      </w:pPr>
      <w:r w:rsidRPr="00B46F4B">
        <w:rPr>
          <w:rFonts w:ascii="Cambria" w:hAnsi="Cambria" w:cs="Cambria"/>
          <w:color w:val="244061" w:themeColor="accent1" w:themeShade="80"/>
          <w:lang w:eastAsia="el-GR"/>
        </w:rPr>
        <w:t>στ) ύπαρξη σχετικής ικανότητας (όπως επιχειρησιακή, διοικητική) του υποψηφίου δικαιούχου.</w:t>
      </w:r>
    </w:p>
    <w:p w:rsidR="00E76EBC" w:rsidRPr="00386155" w:rsidRDefault="00E76EBC" w:rsidP="00E76EBC">
      <w:pPr>
        <w:pBdr>
          <w:top w:val="single" w:sz="4" w:space="1" w:color="auto"/>
          <w:left w:val="single" w:sz="4" w:space="4" w:color="auto"/>
          <w:bottom w:val="single" w:sz="4" w:space="1" w:color="auto"/>
          <w:right w:val="single" w:sz="4" w:space="4" w:color="auto"/>
        </w:pBdr>
        <w:shd w:val="clear" w:color="auto" w:fill="B8CCE4" w:themeFill="accent1" w:themeFillTint="66"/>
        <w:rPr>
          <w:rFonts w:ascii="Cambria" w:hAnsi="Cambria" w:cs="Cambria"/>
          <w:color w:val="244061" w:themeColor="accent1" w:themeShade="80"/>
          <w:lang w:eastAsia="el-GR"/>
        </w:rPr>
      </w:pPr>
      <w:r w:rsidRPr="00386155">
        <w:rPr>
          <w:rStyle w:val="a3"/>
          <w:rFonts w:ascii="Cambria" w:hAnsi="Cambria" w:cs="Cambria"/>
          <w:color w:val="244061" w:themeColor="accent1" w:themeShade="80"/>
        </w:rPr>
        <w:t>Αρχές σχετικά με τον καθορισμό των κριτηρίων επιλογής</w:t>
      </w:r>
      <w:r w:rsidRPr="00386155">
        <w:rPr>
          <w:rFonts w:ascii="Cambria" w:hAnsi="Cambria" w:cs="Cambria"/>
          <w:color w:val="244061" w:themeColor="accent1" w:themeShade="80"/>
          <w:lang w:eastAsia="el-GR"/>
        </w:rPr>
        <w:t xml:space="preserve"> </w:t>
      </w:r>
    </w:p>
    <w:p w:rsidR="00E76EBC" w:rsidRPr="00386155" w:rsidRDefault="00E76EBC" w:rsidP="00E76EBC">
      <w:pPr>
        <w:numPr>
          <w:ilvl w:val="0"/>
          <w:numId w:val="1"/>
        </w:numPr>
        <w:pBdr>
          <w:top w:val="single" w:sz="4" w:space="1" w:color="auto"/>
          <w:left w:val="single" w:sz="4" w:space="4" w:color="auto"/>
          <w:bottom w:val="single" w:sz="4" w:space="1" w:color="auto"/>
          <w:right w:val="single" w:sz="4" w:space="4" w:color="auto"/>
        </w:pBdr>
        <w:shd w:val="clear" w:color="auto" w:fill="B8CCE4" w:themeFill="accent1" w:themeFillTint="66"/>
        <w:ind w:left="284" w:hanging="284"/>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Βαθμός τεκμηρίωσης αναγκαιότητας υλοποίησης της πράξης,</w:t>
      </w:r>
    </w:p>
    <w:p w:rsidR="00E76EBC" w:rsidRPr="00D35C9F" w:rsidRDefault="00E76EBC" w:rsidP="00E76EBC">
      <w:pPr>
        <w:numPr>
          <w:ilvl w:val="0"/>
          <w:numId w:val="1"/>
        </w:numPr>
        <w:pBdr>
          <w:top w:val="single" w:sz="4" w:space="1" w:color="auto"/>
          <w:left w:val="single" w:sz="4" w:space="4" w:color="auto"/>
          <w:bottom w:val="single" w:sz="4" w:space="1" w:color="auto"/>
          <w:right w:val="single" w:sz="4" w:space="4" w:color="auto"/>
        </w:pBdr>
        <w:shd w:val="clear" w:color="auto" w:fill="B8CCE4" w:themeFill="accent1" w:themeFillTint="66"/>
        <w:ind w:left="284" w:hanging="284"/>
        <w:rPr>
          <w:rFonts w:ascii="Cambria" w:hAnsi="Cambria" w:cs="Cambria"/>
          <w:color w:val="244061" w:themeColor="accent1" w:themeShade="80"/>
          <w:lang w:eastAsia="el-GR"/>
        </w:rPr>
      </w:pPr>
      <w:r w:rsidRPr="00386155">
        <w:rPr>
          <w:rFonts w:ascii="Cambria" w:hAnsi="Cambria" w:cs="Cambria"/>
          <w:color w:val="244061" w:themeColor="accent1" w:themeShade="80"/>
          <w:lang w:eastAsia="el-GR"/>
        </w:rPr>
        <w:t>Συνεισφορά – συμβατότητα σε άλλα μέτρα και προγράμματα συγχρηματοδοτούμενα ή μη</w:t>
      </w:r>
      <w:r>
        <w:rPr>
          <w:rFonts w:ascii="Cambria" w:hAnsi="Cambria" w:cs="Cambria"/>
          <w:color w:val="244061" w:themeColor="accent1" w:themeShade="80"/>
          <w:lang w:eastAsia="el-GR"/>
        </w:rPr>
        <w:t xml:space="preserve">, </w:t>
      </w:r>
      <w:r w:rsidRPr="00D35C9F">
        <w:rPr>
          <w:rFonts w:ascii="Cambria" w:hAnsi="Cambria" w:cs="Cambria"/>
          <w:color w:val="244061" w:themeColor="accent1" w:themeShade="80"/>
          <w:lang w:eastAsia="el-GR"/>
        </w:rPr>
        <w:t>συμπεριλαμβανομένης της μόχλευσης πόρων.</w:t>
      </w:r>
    </w:p>
    <w:p w:rsidR="00E76EBC" w:rsidRDefault="00E76EBC" w:rsidP="00E76EBC">
      <w:pPr>
        <w:rPr>
          <w:rFonts w:ascii="Cambria" w:hAnsi="Cambria" w:cs="Cambria"/>
          <w:color w:val="244061" w:themeColor="accent1" w:themeShade="80"/>
        </w:rPr>
        <w:sectPr w:rsidR="00E76EBC" w:rsidSect="005800BE">
          <w:pgSz w:w="11906" w:h="16838"/>
          <w:pgMar w:top="1440" w:right="1080" w:bottom="1440" w:left="1080" w:header="708" w:footer="708" w:gutter="0"/>
          <w:cols w:space="708"/>
          <w:titlePg/>
          <w:docGrid w:linePitch="360"/>
        </w:sectPr>
      </w:pPr>
    </w:p>
    <w:p w:rsidR="00E76EBC" w:rsidRPr="00386155" w:rsidRDefault="00E76EBC" w:rsidP="00E76EBC">
      <w:pPr>
        <w:jc w:val="center"/>
        <w:rPr>
          <w:rFonts w:ascii="Cambria" w:hAnsi="Cambria"/>
          <w:b/>
          <w:color w:val="244061" w:themeColor="accent1" w:themeShade="80"/>
          <w:lang w:eastAsia="el-GR"/>
        </w:rPr>
      </w:pPr>
      <w:bookmarkStart w:id="0" w:name="_GoBack"/>
      <w:bookmarkEnd w:id="0"/>
      <w:r w:rsidRPr="00386155">
        <w:rPr>
          <w:rFonts w:ascii="Cambria" w:hAnsi="Cambria"/>
          <w:b/>
          <w:color w:val="244061" w:themeColor="accent1" w:themeShade="80"/>
          <w:lang w:eastAsia="el-GR"/>
        </w:rPr>
        <w:lastRenderedPageBreak/>
        <w:t>Μ 7.3: Ανάπτυξη ευρυζωνικών υποδομών στις αγροτικές περιοχές</w:t>
      </w:r>
    </w:p>
    <w:tbl>
      <w:tblPr>
        <w:tblW w:w="13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55"/>
        <w:gridCol w:w="709"/>
        <w:gridCol w:w="2977"/>
        <w:gridCol w:w="3402"/>
        <w:gridCol w:w="1701"/>
        <w:gridCol w:w="1931"/>
      </w:tblGrid>
      <w:tr w:rsidR="00E76EBC" w:rsidRPr="00386155" w:rsidTr="00563BA9">
        <w:trPr>
          <w:jc w:val="center"/>
        </w:trPr>
        <w:tc>
          <w:tcPr>
            <w:tcW w:w="2955" w:type="dxa"/>
            <w:shd w:val="clear" w:color="auto" w:fill="B8CCE4" w:themeFill="accent1" w:themeFillTint="66"/>
            <w:vAlign w:val="center"/>
          </w:tcPr>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ΑΡΧΗ ΚΡΙΤΗΡΙΟΥ ΑΞΙΟΛΟΓΗΣΗΣ</w:t>
            </w:r>
          </w:p>
        </w:tc>
        <w:tc>
          <w:tcPr>
            <w:tcW w:w="709" w:type="dxa"/>
            <w:shd w:val="clear" w:color="auto" w:fill="B8CCE4" w:themeFill="accent1" w:themeFillTint="66"/>
            <w:vAlign w:val="center"/>
          </w:tcPr>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Α/Α</w:t>
            </w:r>
          </w:p>
        </w:tc>
        <w:tc>
          <w:tcPr>
            <w:tcW w:w="2977" w:type="dxa"/>
            <w:shd w:val="clear" w:color="auto" w:fill="B8CCE4" w:themeFill="accent1" w:themeFillTint="66"/>
            <w:vAlign w:val="center"/>
          </w:tcPr>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ΚΡΙΤΗΡΙΟ</w:t>
            </w:r>
          </w:p>
        </w:tc>
        <w:tc>
          <w:tcPr>
            <w:tcW w:w="3402" w:type="dxa"/>
            <w:shd w:val="clear" w:color="auto" w:fill="B8CCE4" w:themeFill="accent1" w:themeFillTint="66"/>
            <w:vAlign w:val="center"/>
          </w:tcPr>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ΑΝΑΛΥΣΗ ΤΙΜΩΝ – ΚΑΤΑΣΤΑΣΗΣ ΚΡΙΤΗΡΙΟΥ</w:t>
            </w:r>
          </w:p>
        </w:tc>
        <w:tc>
          <w:tcPr>
            <w:tcW w:w="1701" w:type="dxa"/>
            <w:shd w:val="clear" w:color="auto" w:fill="B8CCE4" w:themeFill="accent1" w:themeFillTint="66"/>
            <w:vAlign w:val="center"/>
          </w:tcPr>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ΒΑΡΥΤΗΤΑ</w:t>
            </w:r>
          </w:p>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w:t>
            </w:r>
          </w:p>
        </w:tc>
        <w:tc>
          <w:tcPr>
            <w:tcW w:w="1931" w:type="dxa"/>
            <w:shd w:val="clear" w:color="auto" w:fill="B8CCE4" w:themeFill="accent1" w:themeFillTint="66"/>
            <w:vAlign w:val="center"/>
          </w:tcPr>
          <w:p w:rsidR="00E76EBC" w:rsidRPr="00386155" w:rsidRDefault="00E76EBC" w:rsidP="00563BA9">
            <w:pPr>
              <w:jc w:val="center"/>
              <w:rPr>
                <w:rFonts w:ascii="Cambria" w:hAnsi="Cambria" w:cs="Cambria"/>
                <w:b/>
                <w:bCs/>
                <w:color w:val="244061" w:themeColor="accent1" w:themeShade="80"/>
              </w:rPr>
            </w:pPr>
            <w:r w:rsidRPr="00386155">
              <w:rPr>
                <w:rFonts w:ascii="Cambria" w:hAnsi="Cambria" w:cs="Cambria"/>
                <w:b/>
                <w:bCs/>
                <w:color w:val="244061" w:themeColor="accent1" w:themeShade="80"/>
              </w:rPr>
              <w:t>ΜΟΡΙΟΔΟΤΗΣΗ</w:t>
            </w:r>
            <w:r w:rsidRPr="00386155">
              <w:rPr>
                <w:rFonts w:ascii="Cambria" w:hAnsi="Cambria" w:cs="Cambria"/>
                <w:b/>
                <w:bCs/>
                <w:color w:val="244061" w:themeColor="accent1" w:themeShade="80"/>
                <w:lang w:val="en-US"/>
              </w:rPr>
              <w:t xml:space="preserve"> </w:t>
            </w:r>
            <w:r w:rsidRPr="00386155">
              <w:rPr>
                <w:rFonts w:ascii="Cambria" w:hAnsi="Cambria" w:cs="Cambria"/>
                <w:color w:val="244061" w:themeColor="accent1" w:themeShade="80"/>
                <w:lang w:val="en-US"/>
              </w:rPr>
              <w:t>(</w:t>
            </w:r>
            <w:r w:rsidRPr="00386155">
              <w:rPr>
                <w:rFonts w:ascii="Cambria" w:hAnsi="Cambria" w:cs="Cambria"/>
                <w:color w:val="244061" w:themeColor="accent1" w:themeShade="80"/>
              </w:rPr>
              <w:t>κλίμακα 0-10)</w:t>
            </w:r>
          </w:p>
        </w:tc>
      </w:tr>
      <w:tr w:rsidR="00E76EBC" w:rsidRPr="00386155" w:rsidTr="00563BA9">
        <w:trPr>
          <w:trHeight w:val="2675"/>
          <w:jc w:val="center"/>
        </w:trPr>
        <w:tc>
          <w:tcPr>
            <w:tcW w:w="2955" w:type="dxa"/>
            <w:vMerge w:val="restart"/>
            <w:shd w:val="clear" w:color="auto" w:fill="B8CCE4"/>
            <w:vAlign w:val="center"/>
          </w:tcPr>
          <w:p w:rsidR="00E76EBC" w:rsidRPr="00D35C9F" w:rsidRDefault="00E76EBC" w:rsidP="00563BA9">
            <w:pPr>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1. Βαθμός τεκμηρίωσης αναγκαιότητας υλοποίησης της πράξης</w:t>
            </w:r>
          </w:p>
        </w:tc>
        <w:tc>
          <w:tcPr>
            <w:tcW w:w="709" w:type="dxa"/>
            <w:vMerge w:val="restart"/>
            <w:vAlign w:val="center"/>
          </w:tcPr>
          <w:p w:rsidR="00E76EBC" w:rsidRPr="00D35C9F" w:rsidRDefault="00E76EBC" w:rsidP="00563BA9">
            <w:pPr>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1.1</w:t>
            </w:r>
          </w:p>
        </w:tc>
        <w:tc>
          <w:tcPr>
            <w:tcW w:w="2977" w:type="dxa"/>
            <w:vMerge w:val="restart"/>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ή και του ειδικού στόχου που έχει προσδιοριστεί. Συγκεκριμένα εξετάζεται η παρέμβαση σε περιοχές που δεν καλύπτονται από </w:t>
            </w:r>
            <w:proofErr w:type="spellStart"/>
            <w:r w:rsidRPr="00D35C9F">
              <w:rPr>
                <w:rFonts w:ascii="Cambria" w:hAnsi="Cambria" w:cs="Cambria"/>
                <w:color w:val="244061" w:themeColor="accent1" w:themeShade="80"/>
                <w:lang w:eastAsia="el-GR"/>
              </w:rPr>
              <w:t>ευρυζωνικές</w:t>
            </w:r>
            <w:proofErr w:type="spellEnd"/>
            <w:r w:rsidRPr="00D35C9F">
              <w:rPr>
                <w:rFonts w:ascii="Cambria" w:hAnsi="Cambria" w:cs="Cambria"/>
                <w:color w:val="244061" w:themeColor="accent1" w:themeShade="80"/>
                <w:lang w:eastAsia="el-GR"/>
              </w:rPr>
              <w:t xml:space="preserve"> συνδέσεις υπερυψηλής ταχύτητας και δεν υπάρχει πρόθεση να καλυφθούν από ιδιωτικές επενδύσεις. Αξιολογείται η ύπαρξη σχετικής </w:t>
            </w:r>
            <w:r w:rsidRPr="00D35C9F">
              <w:rPr>
                <w:rFonts w:ascii="Cambria" w:hAnsi="Cambria" w:cs="Cambria"/>
                <w:color w:val="244061" w:themeColor="accent1" w:themeShade="80"/>
                <w:lang w:eastAsia="el-GR"/>
              </w:rPr>
              <w:lastRenderedPageBreak/>
              <w:t>χαρτογράφησης</w:t>
            </w:r>
          </w:p>
        </w:tc>
        <w:tc>
          <w:tcPr>
            <w:tcW w:w="3402" w:type="dxa"/>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lastRenderedPageBreak/>
              <w:t>Δεν τεκμηριώνεται η αναγκαιότητα παρέμβασης</w:t>
            </w:r>
          </w:p>
        </w:tc>
        <w:tc>
          <w:tcPr>
            <w:tcW w:w="1701" w:type="dxa"/>
            <w:vMerge w:val="restart"/>
            <w:vAlign w:val="center"/>
          </w:tcPr>
          <w:p w:rsidR="00E76EBC" w:rsidRPr="00D35C9F" w:rsidRDefault="00E76EBC" w:rsidP="00563BA9">
            <w:pPr>
              <w:ind w:left="56"/>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39%</w:t>
            </w:r>
          </w:p>
        </w:tc>
        <w:tc>
          <w:tcPr>
            <w:tcW w:w="1931" w:type="dxa"/>
            <w:shd w:val="clear" w:color="auto" w:fill="B8CCE4"/>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0</w:t>
            </w:r>
          </w:p>
        </w:tc>
      </w:tr>
      <w:tr w:rsidR="00E76EBC" w:rsidRPr="00386155" w:rsidTr="00563BA9">
        <w:trPr>
          <w:trHeight w:val="2675"/>
          <w:jc w:val="center"/>
        </w:trPr>
        <w:tc>
          <w:tcPr>
            <w:tcW w:w="2955" w:type="dxa"/>
            <w:vMerge/>
            <w:shd w:val="clear" w:color="auto" w:fill="B8CCE4"/>
            <w:vAlign w:val="center"/>
          </w:tcPr>
          <w:p w:rsidR="00E76EBC" w:rsidRDefault="00E76EBC" w:rsidP="00563BA9">
            <w:pPr>
              <w:jc w:val="center"/>
              <w:rPr>
                <w:b/>
                <w:color w:val="FF0000"/>
              </w:rPr>
            </w:pPr>
          </w:p>
        </w:tc>
        <w:tc>
          <w:tcPr>
            <w:tcW w:w="709" w:type="dxa"/>
            <w:vMerge/>
            <w:vAlign w:val="center"/>
          </w:tcPr>
          <w:p w:rsidR="00E76EBC" w:rsidRDefault="00E76EBC" w:rsidP="00563BA9">
            <w:pPr>
              <w:jc w:val="center"/>
              <w:rPr>
                <w:rFonts w:ascii="Cambria" w:hAnsi="Cambria" w:cs="Cambria"/>
                <w:b/>
                <w:bCs/>
                <w:color w:val="FF0000"/>
              </w:rPr>
            </w:pPr>
          </w:p>
        </w:tc>
        <w:tc>
          <w:tcPr>
            <w:tcW w:w="2977" w:type="dxa"/>
            <w:vMerge/>
            <w:vAlign w:val="center"/>
          </w:tcPr>
          <w:p w:rsidR="00E76EBC" w:rsidRPr="00464E8B" w:rsidRDefault="00E76EBC" w:rsidP="00563BA9">
            <w:pPr>
              <w:spacing w:after="0"/>
              <w:jc w:val="center"/>
              <w:rPr>
                <w:rFonts w:ascii="Cambria" w:hAnsi="Cambria" w:cs="Cambria"/>
                <w:b/>
                <w:bCs/>
                <w:color w:val="FF0000"/>
              </w:rPr>
            </w:pPr>
          </w:p>
        </w:tc>
        <w:tc>
          <w:tcPr>
            <w:tcW w:w="3402" w:type="dxa"/>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Τεκμηριώνεται η αναγκαιότητα παρέμβασης για την κάλυψη των περιοχών στόχου με υπερυψηλές ταχύτητες</w:t>
            </w:r>
          </w:p>
        </w:tc>
        <w:tc>
          <w:tcPr>
            <w:tcW w:w="1701" w:type="dxa"/>
            <w:vMerge/>
            <w:vAlign w:val="center"/>
          </w:tcPr>
          <w:p w:rsidR="00E76EBC" w:rsidRPr="00D35C9F" w:rsidRDefault="00E76EBC" w:rsidP="00563BA9">
            <w:pPr>
              <w:spacing w:after="0"/>
              <w:jc w:val="center"/>
              <w:rPr>
                <w:rFonts w:ascii="Cambria" w:hAnsi="Cambria" w:cs="Cambria"/>
                <w:color w:val="244061" w:themeColor="accent1" w:themeShade="80"/>
                <w:lang w:eastAsia="el-GR"/>
              </w:rPr>
            </w:pPr>
          </w:p>
        </w:tc>
        <w:tc>
          <w:tcPr>
            <w:tcW w:w="1931" w:type="dxa"/>
            <w:shd w:val="clear" w:color="auto" w:fill="B8CCE4"/>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50</w:t>
            </w:r>
          </w:p>
        </w:tc>
      </w:tr>
      <w:tr w:rsidR="00E76EBC" w:rsidRPr="00386155" w:rsidTr="00563BA9">
        <w:trPr>
          <w:trHeight w:val="2675"/>
          <w:jc w:val="center"/>
        </w:trPr>
        <w:tc>
          <w:tcPr>
            <w:tcW w:w="2955" w:type="dxa"/>
            <w:vMerge/>
            <w:shd w:val="clear" w:color="auto" w:fill="B8CCE4"/>
            <w:vAlign w:val="center"/>
          </w:tcPr>
          <w:p w:rsidR="00E76EBC" w:rsidRDefault="00E76EBC" w:rsidP="00563BA9">
            <w:pPr>
              <w:jc w:val="center"/>
              <w:rPr>
                <w:b/>
                <w:color w:val="FF0000"/>
              </w:rPr>
            </w:pPr>
          </w:p>
        </w:tc>
        <w:tc>
          <w:tcPr>
            <w:tcW w:w="709" w:type="dxa"/>
            <w:vMerge/>
            <w:vAlign w:val="center"/>
          </w:tcPr>
          <w:p w:rsidR="00E76EBC" w:rsidRDefault="00E76EBC" w:rsidP="00563BA9">
            <w:pPr>
              <w:jc w:val="center"/>
              <w:rPr>
                <w:rFonts w:ascii="Cambria" w:hAnsi="Cambria" w:cs="Cambria"/>
                <w:b/>
                <w:bCs/>
                <w:color w:val="FF0000"/>
              </w:rPr>
            </w:pPr>
          </w:p>
        </w:tc>
        <w:tc>
          <w:tcPr>
            <w:tcW w:w="2977" w:type="dxa"/>
            <w:vMerge/>
            <w:vAlign w:val="center"/>
          </w:tcPr>
          <w:p w:rsidR="00E76EBC" w:rsidRPr="00464E8B" w:rsidRDefault="00E76EBC" w:rsidP="00563BA9">
            <w:pPr>
              <w:spacing w:after="0"/>
              <w:jc w:val="center"/>
              <w:rPr>
                <w:rFonts w:ascii="Cambria" w:hAnsi="Cambria" w:cs="Cambria"/>
                <w:b/>
                <w:bCs/>
                <w:color w:val="FF0000"/>
              </w:rPr>
            </w:pPr>
          </w:p>
        </w:tc>
        <w:tc>
          <w:tcPr>
            <w:tcW w:w="3402" w:type="dxa"/>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Τεκμηριώνεται η αναγκαιότητα παρέμβασης για την κάλυψη των περιοχών στόχου με υπερυψηλές ταχύτητες και υπάρχει χαρτογράφηση ιδιωτικών επενδυτικών σχεδίων μέχρι το 2023</w:t>
            </w:r>
          </w:p>
        </w:tc>
        <w:tc>
          <w:tcPr>
            <w:tcW w:w="1701" w:type="dxa"/>
            <w:vMerge/>
            <w:vAlign w:val="center"/>
          </w:tcPr>
          <w:p w:rsidR="00E76EBC" w:rsidRPr="00D35C9F" w:rsidRDefault="00E76EBC" w:rsidP="00563BA9">
            <w:pPr>
              <w:spacing w:after="0"/>
              <w:jc w:val="center"/>
              <w:rPr>
                <w:rFonts w:ascii="Cambria" w:hAnsi="Cambria" w:cs="Cambria"/>
                <w:color w:val="244061" w:themeColor="accent1" w:themeShade="80"/>
                <w:lang w:eastAsia="el-GR"/>
              </w:rPr>
            </w:pPr>
          </w:p>
        </w:tc>
        <w:tc>
          <w:tcPr>
            <w:tcW w:w="1931" w:type="dxa"/>
            <w:shd w:val="clear" w:color="auto" w:fill="B8CCE4"/>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100</w:t>
            </w:r>
          </w:p>
        </w:tc>
      </w:tr>
      <w:tr w:rsidR="00E76EBC" w:rsidRPr="00386155" w:rsidTr="00563BA9">
        <w:trPr>
          <w:trHeight w:val="4515"/>
          <w:jc w:val="center"/>
        </w:trPr>
        <w:tc>
          <w:tcPr>
            <w:tcW w:w="2955" w:type="dxa"/>
            <w:vMerge/>
            <w:shd w:val="clear" w:color="auto" w:fill="B8CCE4"/>
            <w:vAlign w:val="center"/>
          </w:tcPr>
          <w:p w:rsidR="00E76EBC" w:rsidRPr="00464E8B" w:rsidRDefault="00E76EBC" w:rsidP="00563BA9">
            <w:pPr>
              <w:jc w:val="center"/>
              <w:rPr>
                <w:b/>
                <w:color w:val="FF0000"/>
              </w:rPr>
            </w:pPr>
          </w:p>
        </w:tc>
        <w:tc>
          <w:tcPr>
            <w:tcW w:w="709" w:type="dxa"/>
            <w:vMerge w:val="restart"/>
            <w:vAlign w:val="center"/>
          </w:tcPr>
          <w:p w:rsidR="00E76EBC" w:rsidRPr="00D35C9F" w:rsidRDefault="00E76EBC" w:rsidP="00563BA9">
            <w:pPr>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1.2</w:t>
            </w:r>
          </w:p>
        </w:tc>
        <w:tc>
          <w:tcPr>
            <w:tcW w:w="2977" w:type="dxa"/>
            <w:vMerge w:val="restart"/>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Εξετάζεται αν η προτεινόμενη πράξη συμβάλλει στην αντιμετώπιση του προβλήματος της προσβασιμότητας του πληθυσμού των αγροτικών περιοχών ως προς την ποιότητα των υπηρεσιών. Συγκεκριμένα, για την φάση κατασκευής αξιολογούνται:</w:t>
            </w:r>
          </w:p>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 xml:space="preserve">- Η ανάπτυξη Δικτύου ικανού να προσφέρει </w:t>
            </w:r>
            <w:proofErr w:type="spellStart"/>
            <w:r w:rsidRPr="00D35C9F">
              <w:rPr>
                <w:rFonts w:ascii="Cambria" w:hAnsi="Cambria" w:cs="Cambria"/>
                <w:color w:val="244061" w:themeColor="accent1" w:themeShade="80"/>
                <w:lang w:eastAsia="el-GR"/>
              </w:rPr>
              <w:t>ευρυζωνικές</w:t>
            </w:r>
            <w:proofErr w:type="spellEnd"/>
            <w:r w:rsidRPr="00D35C9F">
              <w:rPr>
                <w:rFonts w:ascii="Cambria" w:hAnsi="Cambria" w:cs="Cambria"/>
                <w:color w:val="244061" w:themeColor="accent1" w:themeShade="80"/>
                <w:lang w:eastAsia="el-GR"/>
              </w:rPr>
              <w:t xml:space="preserve"> συνδέσεις υπερυψηλής ταχύτητας στους τελικούς χρήστες με ταχύτητες τουλάχιστον 100Mbps ή </w:t>
            </w:r>
            <w:r w:rsidRPr="00D35C9F">
              <w:rPr>
                <w:rFonts w:ascii="Cambria" w:hAnsi="Cambria" w:cs="Cambria"/>
                <w:color w:val="244061" w:themeColor="accent1" w:themeShade="80"/>
                <w:lang w:eastAsia="el-GR"/>
              </w:rPr>
              <w:lastRenderedPageBreak/>
              <w:t xml:space="preserve">τουλάχιστον 100Mbps -αναβαθμίσιμες σε 1 </w:t>
            </w:r>
            <w:proofErr w:type="spellStart"/>
            <w:r w:rsidRPr="00D35C9F">
              <w:rPr>
                <w:rFonts w:ascii="Cambria" w:hAnsi="Cambria" w:cs="Cambria"/>
                <w:color w:val="244061" w:themeColor="accent1" w:themeShade="80"/>
                <w:lang w:eastAsia="el-GR"/>
              </w:rPr>
              <w:t>Gbps</w:t>
            </w:r>
            <w:proofErr w:type="spellEnd"/>
            <w:r w:rsidRPr="00D35C9F">
              <w:rPr>
                <w:rFonts w:ascii="Cambria" w:hAnsi="Cambria" w:cs="Cambria"/>
                <w:color w:val="244061" w:themeColor="accent1" w:themeShade="80"/>
                <w:lang w:eastAsia="el-GR"/>
              </w:rPr>
              <w:t xml:space="preserve"> </w:t>
            </w:r>
          </w:p>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 xml:space="preserve">- Η κάλυψη του συνόλου σχεδόν του διαθέσιμου πληθυσμού (&gt;98% των συνδέσεων) των περιοχών στόχου, με υπηρεσία τουλάχιστον 100 </w:t>
            </w:r>
            <w:proofErr w:type="spellStart"/>
            <w:r w:rsidRPr="00D35C9F">
              <w:rPr>
                <w:rFonts w:ascii="Cambria" w:hAnsi="Cambria" w:cs="Cambria"/>
                <w:color w:val="244061" w:themeColor="accent1" w:themeShade="80"/>
                <w:lang w:eastAsia="el-GR"/>
              </w:rPr>
              <w:t>Mbps</w:t>
            </w:r>
            <w:proofErr w:type="spellEnd"/>
            <w:r w:rsidRPr="00D35C9F">
              <w:rPr>
                <w:rFonts w:ascii="Cambria" w:hAnsi="Cambria" w:cs="Cambria"/>
                <w:color w:val="244061" w:themeColor="accent1" w:themeShade="80"/>
                <w:lang w:eastAsia="el-GR"/>
              </w:rPr>
              <w:t xml:space="preserve"> και η κάλυψη όσο το δυνατόν μεγαλύτερου μέρους αυτού με υπηρεσία τουλάχιστον 100 </w:t>
            </w:r>
            <w:proofErr w:type="spellStart"/>
            <w:r w:rsidRPr="00D35C9F">
              <w:rPr>
                <w:rFonts w:ascii="Cambria" w:hAnsi="Cambria" w:cs="Cambria"/>
                <w:color w:val="244061" w:themeColor="accent1" w:themeShade="80"/>
                <w:lang w:eastAsia="el-GR"/>
              </w:rPr>
              <w:t>Mbps</w:t>
            </w:r>
            <w:proofErr w:type="spellEnd"/>
            <w:r w:rsidRPr="00D35C9F">
              <w:rPr>
                <w:rFonts w:ascii="Cambria" w:hAnsi="Cambria" w:cs="Cambria"/>
                <w:color w:val="244061" w:themeColor="accent1" w:themeShade="80"/>
                <w:lang w:eastAsia="el-GR"/>
              </w:rPr>
              <w:t xml:space="preserve"> αναβαθμίσιμη σε 1 </w:t>
            </w:r>
            <w:proofErr w:type="spellStart"/>
            <w:r w:rsidRPr="00D35C9F">
              <w:rPr>
                <w:rFonts w:ascii="Cambria" w:hAnsi="Cambria" w:cs="Cambria"/>
                <w:color w:val="244061" w:themeColor="accent1" w:themeShade="80"/>
                <w:lang w:eastAsia="el-GR"/>
              </w:rPr>
              <w:t>Gbps</w:t>
            </w:r>
            <w:proofErr w:type="spellEnd"/>
            <w:r w:rsidRPr="00D35C9F">
              <w:rPr>
                <w:rFonts w:ascii="Cambria" w:hAnsi="Cambria" w:cs="Cambria"/>
                <w:color w:val="244061" w:themeColor="accent1" w:themeShade="80"/>
                <w:lang w:eastAsia="el-GR"/>
              </w:rPr>
              <w:t xml:space="preserve"> (Κλάση Α’) (</w:t>
            </w:r>
            <w:proofErr w:type="spellStart"/>
            <w:r w:rsidRPr="00D35C9F">
              <w:rPr>
                <w:rFonts w:ascii="Cambria" w:hAnsi="Cambria" w:cs="Cambria"/>
                <w:color w:val="244061" w:themeColor="accent1" w:themeShade="80"/>
                <w:lang w:eastAsia="el-GR"/>
              </w:rPr>
              <w:t>μεσοσταθμικά</w:t>
            </w:r>
            <w:proofErr w:type="spellEnd"/>
            <w:r w:rsidRPr="00D35C9F">
              <w:rPr>
                <w:rFonts w:ascii="Cambria" w:hAnsi="Cambria" w:cs="Cambria"/>
                <w:color w:val="244061" w:themeColor="accent1" w:themeShade="80"/>
                <w:lang w:eastAsia="el-GR"/>
              </w:rPr>
              <w:t xml:space="preserve"> άνω του 63% των συνδέσεων )</w:t>
            </w:r>
          </w:p>
        </w:tc>
        <w:tc>
          <w:tcPr>
            <w:tcW w:w="3402" w:type="dxa"/>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lastRenderedPageBreak/>
              <w:t>Θετική γνωμοδότηση</w:t>
            </w:r>
          </w:p>
        </w:tc>
        <w:tc>
          <w:tcPr>
            <w:tcW w:w="1701" w:type="dxa"/>
            <w:vMerge w:val="restart"/>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26%</w:t>
            </w:r>
          </w:p>
        </w:tc>
        <w:tc>
          <w:tcPr>
            <w:tcW w:w="1931" w:type="dxa"/>
            <w:shd w:val="clear" w:color="auto" w:fill="B8CCE4"/>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100</w:t>
            </w:r>
          </w:p>
        </w:tc>
      </w:tr>
      <w:tr w:rsidR="00E76EBC" w:rsidRPr="00386155" w:rsidTr="00563BA9">
        <w:trPr>
          <w:trHeight w:val="4515"/>
          <w:jc w:val="center"/>
        </w:trPr>
        <w:tc>
          <w:tcPr>
            <w:tcW w:w="2955" w:type="dxa"/>
            <w:vMerge/>
            <w:shd w:val="clear" w:color="auto" w:fill="B8CCE4"/>
            <w:vAlign w:val="center"/>
          </w:tcPr>
          <w:p w:rsidR="00E76EBC" w:rsidRPr="00464E8B" w:rsidRDefault="00E76EBC" w:rsidP="00563BA9">
            <w:pPr>
              <w:jc w:val="center"/>
              <w:rPr>
                <w:b/>
                <w:color w:val="FF0000"/>
              </w:rPr>
            </w:pPr>
          </w:p>
        </w:tc>
        <w:tc>
          <w:tcPr>
            <w:tcW w:w="709" w:type="dxa"/>
            <w:vMerge/>
            <w:vAlign w:val="center"/>
          </w:tcPr>
          <w:p w:rsidR="00E76EBC" w:rsidRDefault="00E76EBC" w:rsidP="00563BA9">
            <w:pPr>
              <w:jc w:val="center"/>
              <w:rPr>
                <w:rFonts w:ascii="Cambria" w:hAnsi="Cambria" w:cs="Cambria"/>
                <w:b/>
                <w:bCs/>
                <w:color w:val="FF0000"/>
              </w:rPr>
            </w:pPr>
          </w:p>
        </w:tc>
        <w:tc>
          <w:tcPr>
            <w:tcW w:w="2977" w:type="dxa"/>
            <w:vMerge/>
            <w:vAlign w:val="center"/>
          </w:tcPr>
          <w:p w:rsidR="00E76EBC" w:rsidRPr="00464E8B" w:rsidRDefault="00E76EBC" w:rsidP="00563BA9">
            <w:pPr>
              <w:spacing w:after="0"/>
              <w:jc w:val="center"/>
              <w:rPr>
                <w:rFonts w:ascii="Cambria" w:hAnsi="Cambria" w:cs="Cambria"/>
                <w:b/>
                <w:bCs/>
                <w:color w:val="FF0000"/>
              </w:rPr>
            </w:pPr>
          </w:p>
        </w:tc>
        <w:tc>
          <w:tcPr>
            <w:tcW w:w="3402" w:type="dxa"/>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Αρνητική γνωμοδότηση</w:t>
            </w:r>
          </w:p>
        </w:tc>
        <w:tc>
          <w:tcPr>
            <w:tcW w:w="1701" w:type="dxa"/>
            <w:vMerge/>
            <w:vAlign w:val="center"/>
          </w:tcPr>
          <w:p w:rsidR="00E76EBC" w:rsidRPr="00D35C9F" w:rsidRDefault="00E76EBC" w:rsidP="00563BA9">
            <w:pPr>
              <w:spacing w:after="0"/>
              <w:jc w:val="center"/>
              <w:rPr>
                <w:rFonts w:ascii="Cambria" w:hAnsi="Cambria" w:cs="Cambria"/>
                <w:color w:val="244061" w:themeColor="accent1" w:themeShade="80"/>
                <w:lang w:eastAsia="el-GR"/>
              </w:rPr>
            </w:pPr>
          </w:p>
        </w:tc>
        <w:tc>
          <w:tcPr>
            <w:tcW w:w="1931" w:type="dxa"/>
            <w:shd w:val="clear" w:color="auto" w:fill="B8CCE4"/>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0</w:t>
            </w:r>
          </w:p>
        </w:tc>
      </w:tr>
      <w:tr w:rsidR="00E76EBC" w:rsidRPr="00F45882" w:rsidTr="00563BA9">
        <w:trPr>
          <w:trHeight w:val="2385"/>
          <w:jc w:val="center"/>
        </w:trPr>
        <w:tc>
          <w:tcPr>
            <w:tcW w:w="2955" w:type="dxa"/>
            <w:vMerge w:val="restart"/>
            <w:shd w:val="clear" w:color="auto" w:fill="B8CCE4"/>
            <w:vAlign w:val="center"/>
          </w:tcPr>
          <w:p w:rsidR="00E76EBC" w:rsidRPr="00F90B73" w:rsidRDefault="00E76EBC" w:rsidP="00563BA9">
            <w:pPr>
              <w:jc w:val="center"/>
              <w:rPr>
                <w:rFonts w:ascii="Cambria" w:hAnsi="Cambria" w:cs="Cambria"/>
                <w:color w:val="244061" w:themeColor="accent1" w:themeShade="80"/>
                <w:lang w:eastAsia="el-GR"/>
              </w:rPr>
            </w:pPr>
            <w:r w:rsidRPr="00F90B73">
              <w:rPr>
                <w:rFonts w:ascii="Cambria" w:hAnsi="Cambria" w:cs="Cambria"/>
                <w:color w:val="244061" w:themeColor="accent1" w:themeShade="80"/>
                <w:lang w:eastAsia="el-GR"/>
              </w:rPr>
              <w:lastRenderedPageBreak/>
              <w:t>2. Συνεισφορά – συμβατότητα σε άλλα μέτρα και προγράμματα συγχρηματοδοτούμενα ή μη, συμπεριλαμβανομένης της μόχλευσης πόρων</w:t>
            </w:r>
          </w:p>
        </w:tc>
        <w:tc>
          <w:tcPr>
            <w:tcW w:w="709" w:type="dxa"/>
            <w:vMerge w:val="restart"/>
            <w:vAlign w:val="center"/>
          </w:tcPr>
          <w:p w:rsidR="00E76EBC" w:rsidRPr="00D35C9F" w:rsidRDefault="00E76EBC" w:rsidP="00563BA9">
            <w:pPr>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2.1</w:t>
            </w:r>
          </w:p>
        </w:tc>
        <w:tc>
          <w:tcPr>
            <w:tcW w:w="2977" w:type="dxa"/>
            <w:vMerge w:val="restart"/>
            <w:vAlign w:val="center"/>
          </w:tcPr>
          <w:p w:rsidR="00E76EBC" w:rsidRPr="00D35C9F" w:rsidRDefault="00E76EBC" w:rsidP="00563BA9">
            <w:pPr>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 xml:space="preserve">Εξετάζεται ο βαθμός συνέργειας και συμπληρωματικότητας με άλλες πράξεις για την </w:t>
            </w:r>
            <w:proofErr w:type="spellStart"/>
            <w:r w:rsidRPr="00D35C9F">
              <w:rPr>
                <w:rFonts w:ascii="Cambria" w:hAnsi="Cambria" w:cs="Cambria"/>
                <w:color w:val="244061" w:themeColor="accent1" w:themeShade="80"/>
                <w:lang w:eastAsia="el-GR"/>
              </w:rPr>
              <w:t>ευρυζωνικότητα</w:t>
            </w:r>
            <w:proofErr w:type="spellEnd"/>
            <w:r w:rsidRPr="00D35C9F">
              <w:rPr>
                <w:rFonts w:ascii="Cambria" w:hAnsi="Cambria" w:cs="Cambria"/>
                <w:color w:val="244061" w:themeColor="accent1" w:themeShade="80"/>
                <w:lang w:eastAsia="el-GR"/>
              </w:rPr>
              <w:t xml:space="preserve">, καθώς και με το Εθνικό Σχέδιο NGA, που είτε έχουν ολοκληρωθεί, είτε υλοποιούνται, είτε σχεδιάζονται να </w:t>
            </w:r>
            <w:r w:rsidRPr="00D35C9F">
              <w:rPr>
                <w:rFonts w:ascii="Cambria" w:hAnsi="Cambria" w:cs="Cambria"/>
                <w:color w:val="244061" w:themeColor="accent1" w:themeShade="80"/>
                <w:lang w:eastAsia="el-GR"/>
              </w:rPr>
              <w:lastRenderedPageBreak/>
              <w:t>υλοποιηθούν στο πλαίσιο του ΕΠΑΝΕΚ, του ΠΑΑ, των ΠΕΠ ή άλλων προγραμμάτων, ώστε να εξασφαλίζεται πολλαπλασιαστικό αποτέλεσμα από την υλοποίησή της.</w:t>
            </w:r>
          </w:p>
        </w:tc>
        <w:tc>
          <w:tcPr>
            <w:tcW w:w="3402" w:type="dxa"/>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lastRenderedPageBreak/>
              <w:t>Αναγνωρίσιμη συνέργεια / συμπληρωματικότητα</w:t>
            </w:r>
          </w:p>
        </w:tc>
        <w:tc>
          <w:tcPr>
            <w:tcW w:w="1701" w:type="dxa"/>
            <w:vMerge w:val="restart"/>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21%</w:t>
            </w:r>
          </w:p>
        </w:tc>
        <w:tc>
          <w:tcPr>
            <w:tcW w:w="1931" w:type="dxa"/>
            <w:shd w:val="clear" w:color="auto" w:fill="B8CCE4"/>
            <w:vAlign w:val="center"/>
          </w:tcPr>
          <w:p w:rsidR="00E76EBC" w:rsidRPr="00D35C9F" w:rsidRDefault="00E76EBC" w:rsidP="00563BA9">
            <w:pPr>
              <w:spacing w:after="0"/>
              <w:jc w:val="center"/>
              <w:rPr>
                <w:rFonts w:ascii="Cambria" w:hAnsi="Cambria" w:cs="Cambria"/>
                <w:color w:val="244061" w:themeColor="accent1" w:themeShade="80"/>
                <w:lang w:eastAsia="el-GR"/>
              </w:rPr>
            </w:pPr>
            <w:r w:rsidRPr="00D35C9F">
              <w:rPr>
                <w:rFonts w:ascii="Cambria" w:hAnsi="Cambria" w:cs="Cambria"/>
                <w:color w:val="244061" w:themeColor="accent1" w:themeShade="80"/>
                <w:lang w:eastAsia="el-GR"/>
              </w:rPr>
              <w:t>100</w:t>
            </w:r>
          </w:p>
        </w:tc>
      </w:tr>
      <w:tr w:rsidR="00E76EBC" w:rsidRPr="00D35C9F" w:rsidTr="00563BA9">
        <w:trPr>
          <w:trHeight w:val="2385"/>
          <w:jc w:val="center"/>
        </w:trPr>
        <w:tc>
          <w:tcPr>
            <w:tcW w:w="2955" w:type="dxa"/>
            <w:vMerge/>
            <w:shd w:val="clear" w:color="auto" w:fill="B8CCE4"/>
            <w:vAlign w:val="center"/>
          </w:tcPr>
          <w:p w:rsidR="00E76EBC" w:rsidRPr="001F10C0" w:rsidRDefault="00E76EBC" w:rsidP="00563BA9">
            <w:pPr>
              <w:jc w:val="center"/>
              <w:rPr>
                <w:b/>
              </w:rPr>
            </w:pPr>
          </w:p>
        </w:tc>
        <w:tc>
          <w:tcPr>
            <w:tcW w:w="709" w:type="dxa"/>
            <w:vMerge/>
            <w:vAlign w:val="center"/>
          </w:tcPr>
          <w:p w:rsidR="00E76EBC" w:rsidRDefault="00E76EBC" w:rsidP="00563BA9">
            <w:pPr>
              <w:jc w:val="center"/>
              <w:rPr>
                <w:rFonts w:ascii="Cambria" w:hAnsi="Cambria" w:cs="Cambria"/>
                <w:b/>
                <w:bCs/>
                <w:color w:val="244061" w:themeColor="accent1" w:themeShade="80"/>
              </w:rPr>
            </w:pPr>
          </w:p>
        </w:tc>
        <w:tc>
          <w:tcPr>
            <w:tcW w:w="2977" w:type="dxa"/>
            <w:vMerge/>
            <w:vAlign w:val="center"/>
          </w:tcPr>
          <w:p w:rsidR="00E76EBC" w:rsidRPr="00F45882" w:rsidRDefault="00E76EBC" w:rsidP="00563BA9">
            <w:pPr>
              <w:jc w:val="center"/>
              <w:rPr>
                <w:rFonts w:ascii="Cambria" w:hAnsi="Cambria" w:cs="Cambria"/>
                <w:b/>
                <w:bCs/>
                <w:color w:val="FF0000"/>
              </w:rPr>
            </w:pPr>
          </w:p>
        </w:tc>
        <w:tc>
          <w:tcPr>
            <w:tcW w:w="3402" w:type="dxa"/>
            <w:vAlign w:val="center"/>
          </w:tcPr>
          <w:p w:rsidR="00E76EBC" w:rsidRPr="00D35C9F" w:rsidRDefault="00E76EBC" w:rsidP="00563BA9">
            <w:pPr>
              <w:spacing w:after="0"/>
              <w:jc w:val="center"/>
              <w:rPr>
                <w:rFonts w:ascii="Cambria" w:hAnsi="Cambria" w:cs="Cambria"/>
                <w:color w:val="244061" w:themeColor="accent1" w:themeShade="80"/>
              </w:rPr>
            </w:pPr>
            <w:r w:rsidRPr="00D35C9F">
              <w:rPr>
                <w:rFonts w:ascii="Cambria" w:hAnsi="Cambria" w:cs="Cambria"/>
                <w:color w:val="244061" w:themeColor="accent1" w:themeShade="80"/>
              </w:rPr>
              <w:t>Μη αναγνωρίσιμη συνέργεια / συμπληρωματικότητα</w:t>
            </w:r>
          </w:p>
          <w:p w:rsidR="00E76EBC" w:rsidRPr="00D35C9F" w:rsidRDefault="00E76EBC" w:rsidP="00563BA9">
            <w:pPr>
              <w:spacing w:after="0"/>
              <w:jc w:val="center"/>
              <w:rPr>
                <w:rFonts w:ascii="Cambria" w:hAnsi="Cambria" w:cs="Cambria"/>
                <w:color w:val="244061" w:themeColor="accent1" w:themeShade="80"/>
              </w:rPr>
            </w:pPr>
          </w:p>
        </w:tc>
        <w:tc>
          <w:tcPr>
            <w:tcW w:w="1701" w:type="dxa"/>
            <w:vMerge/>
            <w:vAlign w:val="center"/>
          </w:tcPr>
          <w:p w:rsidR="00E76EBC" w:rsidRPr="00D35C9F" w:rsidRDefault="00E76EBC" w:rsidP="00563BA9">
            <w:pPr>
              <w:spacing w:after="0"/>
              <w:jc w:val="center"/>
              <w:rPr>
                <w:rFonts w:ascii="Cambria" w:hAnsi="Cambria" w:cs="Cambria"/>
                <w:b/>
                <w:bCs/>
                <w:color w:val="244061" w:themeColor="accent1" w:themeShade="80"/>
              </w:rPr>
            </w:pPr>
          </w:p>
        </w:tc>
        <w:tc>
          <w:tcPr>
            <w:tcW w:w="1931" w:type="dxa"/>
            <w:shd w:val="clear" w:color="auto" w:fill="B8CCE4"/>
            <w:vAlign w:val="center"/>
          </w:tcPr>
          <w:p w:rsidR="00E76EBC" w:rsidRPr="00D35C9F" w:rsidRDefault="00E76EBC" w:rsidP="00563BA9">
            <w:pPr>
              <w:spacing w:after="0"/>
              <w:jc w:val="center"/>
              <w:rPr>
                <w:rFonts w:ascii="Cambria" w:hAnsi="Cambria" w:cs="Cambria"/>
                <w:b/>
                <w:bCs/>
                <w:color w:val="244061" w:themeColor="accent1" w:themeShade="80"/>
              </w:rPr>
            </w:pPr>
            <w:r w:rsidRPr="00D35C9F">
              <w:rPr>
                <w:rFonts w:ascii="Cambria" w:hAnsi="Cambria" w:cs="Cambria"/>
                <w:b/>
                <w:bCs/>
                <w:color w:val="244061" w:themeColor="accent1" w:themeShade="80"/>
              </w:rPr>
              <w:t>0</w:t>
            </w:r>
          </w:p>
        </w:tc>
      </w:tr>
      <w:tr w:rsidR="00E76EBC" w:rsidRPr="00D35C9F" w:rsidTr="00563BA9">
        <w:trPr>
          <w:trHeight w:val="1178"/>
          <w:jc w:val="center"/>
        </w:trPr>
        <w:tc>
          <w:tcPr>
            <w:tcW w:w="2955" w:type="dxa"/>
            <w:vMerge/>
            <w:shd w:val="clear" w:color="auto" w:fill="B8CCE4"/>
            <w:vAlign w:val="center"/>
          </w:tcPr>
          <w:p w:rsidR="00E76EBC" w:rsidRPr="001F10C0" w:rsidRDefault="00E76EBC" w:rsidP="00563BA9">
            <w:pPr>
              <w:jc w:val="center"/>
              <w:rPr>
                <w:b/>
              </w:rPr>
            </w:pPr>
          </w:p>
        </w:tc>
        <w:tc>
          <w:tcPr>
            <w:tcW w:w="709" w:type="dxa"/>
            <w:vMerge w:val="restart"/>
            <w:vAlign w:val="center"/>
          </w:tcPr>
          <w:p w:rsidR="00E76EBC" w:rsidRPr="0098612A" w:rsidRDefault="00E76EBC" w:rsidP="00563BA9">
            <w:pPr>
              <w:jc w:val="center"/>
              <w:rPr>
                <w:rFonts w:ascii="Cambria" w:hAnsi="Cambria" w:cs="Cambria"/>
                <w:bCs/>
                <w:color w:val="244061" w:themeColor="accent1" w:themeShade="80"/>
              </w:rPr>
            </w:pPr>
            <w:r w:rsidRPr="0098612A">
              <w:rPr>
                <w:rFonts w:ascii="Cambria" w:hAnsi="Cambria" w:cs="Cambria"/>
                <w:bCs/>
                <w:color w:val="244061" w:themeColor="accent1" w:themeShade="80"/>
              </w:rPr>
              <w:t>2.2</w:t>
            </w:r>
          </w:p>
        </w:tc>
        <w:tc>
          <w:tcPr>
            <w:tcW w:w="2977" w:type="dxa"/>
            <w:vMerge w:val="restart"/>
            <w:vAlign w:val="center"/>
          </w:tcPr>
          <w:p w:rsidR="00E76EBC" w:rsidRPr="0098612A" w:rsidRDefault="00E76EBC" w:rsidP="00563BA9">
            <w:pPr>
              <w:spacing w:after="0"/>
              <w:jc w:val="center"/>
              <w:rPr>
                <w:rFonts w:ascii="Cambria" w:hAnsi="Cambria" w:cs="Cambria"/>
                <w:bCs/>
                <w:color w:val="244061" w:themeColor="accent1" w:themeShade="80"/>
              </w:rPr>
            </w:pPr>
            <w:r w:rsidRPr="0098612A">
              <w:rPr>
                <w:rFonts w:ascii="Cambria" w:hAnsi="Cambria" w:cs="Cambria"/>
                <w:bCs/>
                <w:color w:val="244061" w:themeColor="accent1" w:themeShade="80"/>
              </w:rPr>
              <w:t>Αξιολογείται η ύπαρξη μόχλευσης επιπρόσθετων πόρων (ιδιωτικών ή κρατικών εκτός εθνικής συμμετοχής σε συγχρηματοδοτούμενα έργα) , συνεισφέροντας στην συνέργεια της πράξης με λοιπές παρεμβάσεις του Ιδιωτικού ή Δημοσίου Τομέα και στην μακροχρόνια λειτουργία των έργων Ευρυζωνικών Υποδομών</w:t>
            </w:r>
          </w:p>
        </w:tc>
        <w:tc>
          <w:tcPr>
            <w:tcW w:w="3402" w:type="dxa"/>
            <w:vAlign w:val="center"/>
          </w:tcPr>
          <w:p w:rsidR="00E76EBC" w:rsidRPr="00D35C9F" w:rsidRDefault="00E76EBC" w:rsidP="00563BA9">
            <w:pPr>
              <w:spacing w:after="0"/>
              <w:jc w:val="center"/>
              <w:rPr>
                <w:rFonts w:ascii="Cambria" w:hAnsi="Cambria" w:cs="Cambria"/>
                <w:color w:val="244061" w:themeColor="accent1" w:themeShade="80"/>
              </w:rPr>
            </w:pPr>
            <w:r w:rsidRPr="00D35C9F">
              <w:rPr>
                <w:rFonts w:ascii="Cambria" w:hAnsi="Cambria" w:cs="Cambria"/>
                <w:color w:val="244061" w:themeColor="accent1" w:themeShade="80"/>
              </w:rPr>
              <w:t>Ύπαρξη μόχλευσης επιπρόσθετων πόρων</w:t>
            </w:r>
          </w:p>
        </w:tc>
        <w:tc>
          <w:tcPr>
            <w:tcW w:w="1701" w:type="dxa"/>
            <w:vMerge w:val="restart"/>
            <w:vAlign w:val="center"/>
          </w:tcPr>
          <w:p w:rsidR="00E76EBC" w:rsidRPr="00D35C9F" w:rsidRDefault="00E76EBC" w:rsidP="00563BA9">
            <w:pPr>
              <w:spacing w:after="0"/>
              <w:jc w:val="center"/>
              <w:rPr>
                <w:rFonts w:ascii="Cambria" w:hAnsi="Cambria" w:cs="Cambria"/>
                <w:b/>
                <w:bCs/>
                <w:color w:val="244061" w:themeColor="accent1" w:themeShade="80"/>
              </w:rPr>
            </w:pPr>
            <w:r w:rsidRPr="00D35C9F">
              <w:rPr>
                <w:rFonts w:ascii="Cambria" w:hAnsi="Cambria" w:cs="Cambria"/>
                <w:b/>
                <w:bCs/>
                <w:color w:val="244061" w:themeColor="accent1" w:themeShade="80"/>
              </w:rPr>
              <w:t>14%</w:t>
            </w:r>
          </w:p>
        </w:tc>
        <w:tc>
          <w:tcPr>
            <w:tcW w:w="1931" w:type="dxa"/>
            <w:shd w:val="clear" w:color="auto" w:fill="B8CCE4"/>
            <w:vAlign w:val="center"/>
          </w:tcPr>
          <w:p w:rsidR="00E76EBC" w:rsidRPr="00D35C9F" w:rsidRDefault="00E76EBC" w:rsidP="00563BA9">
            <w:pPr>
              <w:spacing w:after="0"/>
              <w:jc w:val="center"/>
              <w:rPr>
                <w:rFonts w:ascii="Cambria" w:hAnsi="Cambria" w:cs="Cambria"/>
                <w:b/>
                <w:bCs/>
                <w:color w:val="244061" w:themeColor="accent1" w:themeShade="80"/>
              </w:rPr>
            </w:pPr>
            <w:r w:rsidRPr="00D35C9F">
              <w:rPr>
                <w:rFonts w:ascii="Cambria" w:hAnsi="Cambria" w:cs="Cambria"/>
                <w:b/>
                <w:bCs/>
                <w:color w:val="244061" w:themeColor="accent1" w:themeShade="80"/>
              </w:rPr>
              <w:t>100</w:t>
            </w:r>
          </w:p>
        </w:tc>
      </w:tr>
      <w:tr w:rsidR="00E76EBC" w:rsidRPr="00D35C9F" w:rsidTr="00563BA9">
        <w:trPr>
          <w:trHeight w:val="1177"/>
          <w:jc w:val="center"/>
        </w:trPr>
        <w:tc>
          <w:tcPr>
            <w:tcW w:w="2955" w:type="dxa"/>
            <w:vMerge/>
            <w:shd w:val="clear" w:color="auto" w:fill="B8CCE4"/>
            <w:vAlign w:val="center"/>
          </w:tcPr>
          <w:p w:rsidR="00E76EBC" w:rsidRPr="001F10C0" w:rsidRDefault="00E76EBC" w:rsidP="00563BA9">
            <w:pPr>
              <w:jc w:val="center"/>
              <w:rPr>
                <w:b/>
              </w:rPr>
            </w:pPr>
          </w:p>
        </w:tc>
        <w:tc>
          <w:tcPr>
            <w:tcW w:w="709" w:type="dxa"/>
            <w:vMerge/>
            <w:vAlign w:val="center"/>
          </w:tcPr>
          <w:p w:rsidR="00E76EBC" w:rsidRPr="0098297B" w:rsidRDefault="00E76EBC" w:rsidP="00563BA9">
            <w:pPr>
              <w:jc w:val="center"/>
              <w:rPr>
                <w:rFonts w:ascii="Cambria" w:hAnsi="Cambria" w:cs="Cambria"/>
                <w:b/>
                <w:bCs/>
                <w:color w:val="C00000"/>
              </w:rPr>
            </w:pPr>
          </w:p>
        </w:tc>
        <w:tc>
          <w:tcPr>
            <w:tcW w:w="2977" w:type="dxa"/>
            <w:vMerge/>
            <w:vAlign w:val="center"/>
          </w:tcPr>
          <w:p w:rsidR="00E76EBC" w:rsidRPr="0098297B" w:rsidRDefault="00E76EBC" w:rsidP="00563BA9">
            <w:pPr>
              <w:spacing w:after="0"/>
              <w:jc w:val="center"/>
              <w:rPr>
                <w:rFonts w:ascii="Cambria" w:hAnsi="Cambria" w:cs="Cambria"/>
                <w:b/>
                <w:bCs/>
                <w:color w:val="C00000"/>
              </w:rPr>
            </w:pPr>
          </w:p>
        </w:tc>
        <w:tc>
          <w:tcPr>
            <w:tcW w:w="3402" w:type="dxa"/>
            <w:vAlign w:val="center"/>
          </w:tcPr>
          <w:p w:rsidR="00E76EBC" w:rsidRPr="00D35C9F" w:rsidRDefault="00E76EBC" w:rsidP="00563BA9">
            <w:pPr>
              <w:spacing w:after="0"/>
              <w:jc w:val="center"/>
              <w:rPr>
                <w:rFonts w:ascii="Cambria" w:hAnsi="Cambria" w:cs="Cambria"/>
                <w:color w:val="244061" w:themeColor="accent1" w:themeShade="80"/>
              </w:rPr>
            </w:pPr>
            <w:r w:rsidRPr="00D35C9F">
              <w:rPr>
                <w:rFonts w:ascii="Cambria" w:hAnsi="Cambria" w:cs="Cambria"/>
                <w:color w:val="244061" w:themeColor="accent1" w:themeShade="80"/>
              </w:rPr>
              <w:t>Μη ύπαρξη μόχλευσης επιπρόσθετων πόρων</w:t>
            </w:r>
          </w:p>
        </w:tc>
        <w:tc>
          <w:tcPr>
            <w:tcW w:w="1701" w:type="dxa"/>
            <w:vMerge/>
            <w:vAlign w:val="center"/>
          </w:tcPr>
          <w:p w:rsidR="00E76EBC" w:rsidRPr="00D35C9F" w:rsidRDefault="00E76EBC" w:rsidP="00563BA9">
            <w:pPr>
              <w:spacing w:after="0"/>
              <w:jc w:val="center"/>
              <w:rPr>
                <w:rFonts w:ascii="Cambria" w:hAnsi="Cambria" w:cs="Cambria"/>
                <w:b/>
                <w:bCs/>
                <w:strike/>
                <w:color w:val="244061" w:themeColor="accent1" w:themeShade="80"/>
              </w:rPr>
            </w:pPr>
          </w:p>
        </w:tc>
        <w:tc>
          <w:tcPr>
            <w:tcW w:w="1931" w:type="dxa"/>
            <w:shd w:val="clear" w:color="auto" w:fill="B8CCE4"/>
            <w:vAlign w:val="center"/>
          </w:tcPr>
          <w:p w:rsidR="00E76EBC" w:rsidRPr="00D35C9F" w:rsidRDefault="00E76EBC" w:rsidP="00563BA9">
            <w:pPr>
              <w:spacing w:after="0"/>
              <w:jc w:val="center"/>
              <w:rPr>
                <w:rFonts w:ascii="Cambria" w:hAnsi="Cambria" w:cs="Cambria"/>
                <w:b/>
                <w:bCs/>
                <w:color w:val="244061" w:themeColor="accent1" w:themeShade="80"/>
              </w:rPr>
            </w:pPr>
            <w:r w:rsidRPr="00D35C9F">
              <w:rPr>
                <w:rFonts w:ascii="Cambria" w:hAnsi="Cambria" w:cs="Cambria"/>
                <w:b/>
                <w:bCs/>
                <w:color w:val="244061" w:themeColor="accent1" w:themeShade="80"/>
              </w:rPr>
              <w:t>0</w:t>
            </w:r>
          </w:p>
          <w:p w:rsidR="00E76EBC" w:rsidRPr="00D35C9F" w:rsidRDefault="00E76EBC" w:rsidP="00563BA9">
            <w:pPr>
              <w:spacing w:after="0"/>
              <w:jc w:val="center"/>
              <w:rPr>
                <w:rFonts w:ascii="Cambria" w:hAnsi="Cambria" w:cs="Cambria"/>
                <w:b/>
                <w:bCs/>
                <w:color w:val="244061" w:themeColor="accent1" w:themeShade="80"/>
              </w:rPr>
            </w:pPr>
          </w:p>
        </w:tc>
      </w:tr>
      <w:tr w:rsidR="00E76EBC" w:rsidRPr="00D35C9F" w:rsidTr="00563BA9">
        <w:trPr>
          <w:trHeight w:val="3480"/>
          <w:jc w:val="center"/>
        </w:trPr>
        <w:tc>
          <w:tcPr>
            <w:tcW w:w="2955" w:type="dxa"/>
            <w:vMerge/>
            <w:shd w:val="clear" w:color="auto" w:fill="B8CCE4"/>
            <w:vAlign w:val="center"/>
          </w:tcPr>
          <w:p w:rsidR="00E76EBC" w:rsidRPr="001F10C0" w:rsidRDefault="00E76EBC" w:rsidP="00563BA9">
            <w:pPr>
              <w:jc w:val="center"/>
              <w:rPr>
                <w:b/>
              </w:rPr>
            </w:pPr>
          </w:p>
        </w:tc>
        <w:tc>
          <w:tcPr>
            <w:tcW w:w="709" w:type="dxa"/>
            <w:vMerge/>
            <w:vAlign w:val="center"/>
          </w:tcPr>
          <w:p w:rsidR="00E76EBC" w:rsidRPr="001F10C0" w:rsidRDefault="00E76EBC" w:rsidP="00563BA9">
            <w:pPr>
              <w:jc w:val="center"/>
              <w:rPr>
                <w:rFonts w:ascii="Cambria" w:hAnsi="Cambria" w:cs="Cambria"/>
                <w:b/>
                <w:bCs/>
                <w:color w:val="244061" w:themeColor="accent1" w:themeShade="80"/>
              </w:rPr>
            </w:pPr>
          </w:p>
        </w:tc>
        <w:tc>
          <w:tcPr>
            <w:tcW w:w="2977" w:type="dxa"/>
            <w:vMerge/>
            <w:vAlign w:val="center"/>
          </w:tcPr>
          <w:p w:rsidR="00E76EBC" w:rsidRPr="00386155" w:rsidRDefault="00E76EBC" w:rsidP="00563BA9">
            <w:pPr>
              <w:spacing w:after="0"/>
              <w:jc w:val="center"/>
              <w:rPr>
                <w:rFonts w:ascii="Cambria" w:hAnsi="Cambria" w:cs="Cambria"/>
                <w:b/>
                <w:bCs/>
                <w:color w:val="244061" w:themeColor="accent1" w:themeShade="80"/>
              </w:rPr>
            </w:pPr>
          </w:p>
        </w:tc>
        <w:tc>
          <w:tcPr>
            <w:tcW w:w="3402" w:type="dxa"/>
            <w:vAlign w:val="center"/>
          </w:tcPr>
          <w:p w:rsidR="00E76EBC" w:rsidRPr="00D35C9F" w:rsidRDefault="00E76EBC" w:rsidP="00563BA9">
            <w:pPr>
              <w:spacing w:after="0"/>
              <w:jc w:val="center"/>
              <w:rPr>
                <w:rFonts w:asciiTheme="majorHAnsi" w:hAnsiTheme="majorHAnsi" w:cs="Cambria"/>
                <w:color w:val="244061" w:themeColor="accent1" w:themeShade="80"/>
              </w:rPr>
            </w:pPr>
            <w:r w:rsidRPr="00D35C9F">
              <w:rPr>
                <w:rFonts w:asciiTheme="majorHAnsi" w:hAnsiTheme="majorHAnsi" w:cs="Cambria"/>
                <w:color w:val="244061" w:themeColor="accent1" w:themeShade="80"/>
              </w:rPr>
              <w:t>Μη ύπαρξη μόχλευσης επιπρόσθετων πόρων</w:t>
            </w:r>
          </w:p>
        </w:tc>
        <w:tc>
          <w:tcPr>
            <w:tcW w:w="1701" w:type="dxa"/>
            <w:vMerge/>
            <w:vAlign w:val="center"/>
          </w:tcPr>
          <w:p w:rsidR="00E76EBC" w:rsidRPr="00D35C9F" w:rsidRDefault="00E76EBC" w:rsidP="00563BA9">
            <w:pPr>
              <w:spacing w:after="0"/>
              <w:jc w:val="center"/>
              <w:rPr>
                <w:rFonts w:ascii="Cambria" w:hAnsi="Cambria" w:cs="Cambria"/>
                <w:b/>
                <w:bCs/>
                <w:color w:val="244061" w:themeColor="accent1" w:themeShade="80"/>
              </w:rPr>
            </w:pPr>
          </w:p>
        </w:tc>
        <w:tc>
          <w:tcPr>
            <w:tcW w:w="1931" w:type="dxa"/>
            <w:shd w:val="clear" w:color="auto" w:fill="B8CCE4"/>
            <w:vAlign w:val="center"/>
          </w:tcPr>
          <w:p w:rsidR="00E76EBC" w:rsidRPr="00D35C9F" w:rsidRDefault="00E76EBC" w:rsidP="00563BA9">
            <w:pPr>
              <w:spacing w:after="0"/>
              <w:jc w:val="center"/>
              <w:rPr>
                <w:rFonts w:ascii="Cambria" w:hAnsi="Cambria" w:cs="Cambria"/>
                <w:b/>
                <w:bCs/>
                <w:color w:val="244061" w:themeColor="accent1" w:themeShade="80"/>
              </w:rPr>
            </w:pPr>
            <w:r w:rsidRPr="00D35C9F">
              <w:rPr>
                <w:rFonts w:ascii="Cambria" w:hAnsi="Cambria" w:cs="Cambria"/>
                <w:b/>
                <w:bCs/>
                <w:color w:val="244061" w:themeColor="accent1" w:themeShade="80"/>
              </w:rPr>
              <w:t>0</w:t>
            </w:r>
          </w:p>
        </w:tc>
      </w:tr>
      <w:tr w:rsidR="00E76EBC" w:rsidRPr="00386155" w:rsidTr="00563BA9">
        <w:trPr>
          <w:trHeight w:val="720"/>
          <w:jc w:val="center"/>
        </w:trPr>
        <w:tc>
          <w:tcPr>
            <w:tcW w:w="11744" w:type="dxa"/>
            <w:gridSpan w:val="5"/>
            <w:shd w:val="clear" w:color="auto" w:fill="B8CCE4"/>
            <w:vAlign w:val="center"/>
          </w:tcPr>
          <w:p w:rsidR="00E76EBC" w:rsidRPr="00386155" w:rsidRDefault="00E76EBC" w:rsidP="00563BA9">
            <w:pPr>
              <w:spacing w:after="0"/>
              <w:jc w:val="center"/>
              <w:rPr>
                <w:rFonts w:ascii="Cambria" w:hAnsi="Cambria" w:cs="Cambria"/>
                <w:i/>
                <w:iCs/>
                <w:color w:val="244061" w:themeColor="accent1" w:themeShade="80"/>
              </w:rPr>
            </w:pPr>
            <w:r w:rsidRPr="00386155">
              <w:rPr>
                <w:rFonts w:ascii="Cambria" w:hAnsi="Cambria" w:cs="Cambria"/>
                <w:b/>
                <w:bCs/>
                <w:i/>
                <w:iCs/>
                <w:color w:val="244061" w:themeColor="accent1" w:themeShade="80"/>
              </w:rPr>
              <w:lastRenderedPageBreak/>
              <w:t xml:space="preserve">ΕΛΑΧΙΣΤΗ ΒΑΘΜΟΛΟΓΙΑ ΠΟΥ ΟΦΕΙΛΕΙ ΝΑ ΣΥΓΚΕΝΤΡΩΣΕΙ Ο ΕΝ ΔΥΝΑΜΕΙ ΔΙΚΑΙΟΥΧΟΣ </w:t>
            </w:r>
            <w:r w:rsidRPr="00386155">
              <w:rPr>
                <w:rFonts w:ascii="Cambria" w:hAnsi="Cambria" w:cs="Cambria"/>
                <w:i/>
                <w:iCs/>
                <w:color w:val="244061" w:themeColor="accent1" w:themeShade="80"/>
              </w:rPr>
              <w:t>(% της μέγιστης βαθμολογίας)</w:t>
            </w:r>
          </w:p>
          <w:p w:rsidR="00E76EBC" w:rsidRPr="00386155" w:rsidRDefault="00E76EBC" w:rsidP="00563BA9">
            <w:pPr>
              <w:spacing w:after="0"/>
              <w:jc w:val="center"/>
              <w:rPr>
                <w:rFonts w:ascii="Cambria" w:hAnsi="Cambria" w:cs="Cambria"/>
                <w:b/>
                <w:bCs/>
                <w:color w:val="244061" w:themeColor="accent1" w:themeShade="80"/>
              </w:rPr>
            </w:pPr>
            <w:r w:rsidRPr="00386155">
              <w:rPr>
                <w:rFonts w:ascii="Cambria" w:hAnsi="Cambria" w:cs="Cambria"/>
                <w:i/>
                <w:iCs/>
                <w:color w:val="244061" w:themeColor="accent1" w:themeShade="80"/>
              </w:rPr>
              <w:t>ΒΑΘΜΟΛΟΓΙΑ = ΒΑΡΥΤΗΤΑ Χ ΜΟΡΙΟΔΟΤΗΣΗ</w:t>
            </w:r>
          </w:p>
        </w:tc>
        <w:tc>
          <w:tcPr>
            <w:tcW w:w="1931" w:type="dxa"/>
            <w:shd w:val="clear" w:color="auto" w:fill="B8CCE4"/>
            <w:vAlign w:val="center"/>
          </w:tcPr>
          <w:p w:rsidR="00E76EBC" w:rsidRPr="00386155" w:rsidRDefault="00E76EBC" w:rsidP="00563BA9">
            <w:pPr>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30</w:t>
            </w:r>
          </w:p>
        </w:tc>
      </w:tr>
    </w:tbl>
    <w:p w:rsidR="00E76EBC" w:rsidRPr="00386155" w:rsidRDefault="00E76EBC" w:rsidP="00E76EBC">
      <w:pPr>
        <w:pStyle w:val="3"/>
        <w:spacing w:before="0" w:after="120"/>
        <w:rPr>
          <w:rFonts w:cs="Times New Roman"/>
          <w:color w:val="244061" w:themeColor="accent1" w:themeShade="80"/>
        </w:rPr>
      </w:pPr>
    </w:p>
    <w:tbl>
      <w:tblPr>
        <w:tblStyle w:val="a4"/>
        <w:tblW w:w="13750" w:type="dxa"/>
        <w:tblInd w:w="250" w:type="dxa"/>
        <w:tblLook w:val="04A0" w:firstRow="1" w:lastRow="0" w:firstColumn="1" w:lastColumn="0" w:noHBand="0" w:noVBand="1"/>
      </w:tblPr>
      <w:tblGrid>
        <w:gridCol w:w="7404"/>
        <w:gridCol w:w="6346"/>
      </w:tblGrid>
      <w:tr w:rsidR="00E76EBC" w:rsidRPr="006A0298" w:rsidTr="00563BA9">
        <w:trPr>
          <w:trHeight w:val="435"/>
        </w:trPr>
        <w:tc>
          <w:tcPr>
            <w:tcW w:w="13750" w:type="dxa"/>
            <w:gridSpan w:val="2"/>
            <w:shd w:val="clear" w:color="auto" w:fill="B8CCE4" w:themeFill="accent1" w:themeFillTint="66"/>
            <w:vAlign w:val="center"/>
          </w:tcPr>
          <w:p w:rsidR="00E76EBC" w:rsidRPr="006A0298" w:rsidRDefault="00E76EBC" w:rsidP="00563BA9">
            <w:pPr>
              <w:jc w:val="center"/>
              <w:rPr>
                <w:rFonts w:ascii="Cambria" w:hAnsi="Cambria"/>
                <w:b/>
                <w:color w:val="244061" w:themeColor="accent1" w:themeShade="80"/>
              </w:rPr>
            </w:pPr>
            <w:r w:rsidRPr="006A0298">
              <w:rPr>
                <w:rFonts w:ascii="Cambria" w:hAnsi="Cambria"/>
                <w:b/>
                <w:color w:val="244061" w:themeColor="accent1" w:themeShade="80"/>
              </w:rPr>
              <w:t>ΒΑΘΜΟΛΟΓΙΑ = ΒΑΡΥΤΗΤΑ Χ ΜΟΡΙΟΔΟΤΗΣΗ</w:t>
            </w:r>
          </w:p>
        </w:tc>
      </w:tr>
      <w:tr w:rsidR="00E76EBC" w:rsidRPr="006A0298" w:rsidTr="00563BA9">
        <w:trPr>
          <w:trHeight w:val="415"/>
        </w:trPr>
        <w:tc>
          <w:tcPr>
            <w:tcW w:w="7404" w:type="dxa"/>
            <w:shd w:val="clear" w:color="auto" w:fill="B8CCE4" w:themeFill="accent1" w:themeFillTint="66"/>
            <w:vAlign w:val="center"/>
          </w:tcPr>
          <w:p w:rsidR="00E76EBC" w:rsidRPr="006A0298" w:rsidRDefault="00E76EBC" w:rsidP="00563BA9">
            <w:pPr>
              <w:jc w:val="center"/>
              <w:rPr>
                <w:rFonts w:ascii="Cambria" w:hAnsi="Cambria"/>
                <w:color w:val="244061" w:themeColor="accent1" w:themeShade="80"/>
              </w:rPr>
            </w:pPr>
            <w:r w:rsidRPr="006A0298">
              <w:rPr>
                <w:rFonts w:ascii="Cambria" w:hAnsi="Cambria"/>
                <w:b/>
                <w:color w:val="244061" w:themeColor="accent1" w:themeShade="80"/>
              </w:rPr>
              <w:t xml:space="preserve">ΜΕΓΙΣΤΗ ΔΥΝΑΤΗ ΒΑΘΜΟΛΟΓΙΑ </w:t>
            </w:r>
          </w:p>
        </w:tc>
        <w:tc>
          <w:tcPr>
            <w:tcW w:w="6346" w:type="dxa"/>
            <w:vAlign w:val="center"/>
          </w:tcPr>
          <w:p w:rsidR="00E76EBC" w:rsidRPr="006A0298" w:rsidRDefault="00E76EBC" w:rsidP="00563BA9">
            <w:pPr>
              <w:jc w:val="center"/>
              <w:rPr>
                <w:rFonts w:ascii="Cambria" w:hAnsi="Cambria"/>
                <w:b/>
                <w:color w:val="244061" w:themeColor="accent1" w:themeShade="80"/>
              </w:rPr>
            </w:pPr>
            <w:r w:rsidRPr="006A0298">
              <w:rPr>
                <w:rFonts w:ascii="Cambria" w:hAnsi="Cambria"/>
                <w:b/>
                <w:color w:val="244061" w:themeColor="accent1" w:themeShade="80"/>
              </w:rPr>
              <w:t>100 βαθμοί</w:t>
            </w:r>
          </w:p>
        </w:tc>
      </w:tr>
      <w:tr w:rsidR="00E76EBC" w:rsidRPr="006A0298" w:rsidTr="00563BA9">
        <w:trPr>
          <w:trHeight w:val="420"/>
        </w:trPr>
        <w:tc>
          <w:tcPr>
            <w:tcW w:w="7404" w:type="dxa"/>
            <w:shd w:val="clear" w:color="auto" w:fill="B8CCE4" w:themeFill="accent1" w:themeFillTint="66"/>
            <w:vAlign w:val="center"/>
          </w:tcPr>
          <w:p w:rsidR="00E76EBC" w:rsidRPr="006A0298" w:rsidRDefault="00E76EBC" w:rsidP="00563BA9">
            <w:pPr>
              <w:jc w:val="center"/>
              <w:rPr>
                <w:rFonts w:ascii="Cambria" w:hAnsi="Cambria"/>
                <w:color w:val="244061" w:themeColor="accent1" w:themeShade="80"/>
              </w:rPr>
            </w:pPr>
            <w:r w:rsidRPr="006A0298">
              <w:rPr>
                <w:rFonts w:ascii="Cambria" w:hAnsi="Cambria"/>
                <w:b/>
                <w:color w:val="244061" w:themeColor="accent1" w:themeShade="80"/>
              </w:rPr>
              <w:t xml:space="preserve">ΕΛΑΧΙΣΤΗ ΒΑΘΜΟΛΟΓΙΑ </w:t>
            </w:r>
          </w:p>
        </w:tc>
        <w:tc>
          <w:tcPr>
            <w:tcW w:w="6346" w:type="dxa"/>
            <w:vAlign w:val="center"/>
          </w:tcPr>
          <w:p w:rsidR="00E76EBC" w:rsidRPr="006A0298" w:rsidRDefault="00E76EBC" w:rsidP="00563BA9">
            <w:pPr>
              <w:jc w:val="center"/>
              <w:rPr>
                <w:rFonts w:ascii="Cambria" w:hAnsi="Cambria"/>
                <w:b/>
                <w:color w:val="244061" w:themeColor="accent1" w:themeShade="80"/>
              </w:rPr>
            </w:pPr>
            <w:r w:rsidRPr="006A0298">
              <w:rPr>
                <w:rFonts w:ascii="Cambria" w:hAnsi="Cambria"/>
                <w:b/>
                <w:color w:val="244061" w:themeColor="accent1" w:themeShade="80"/>
              </w:rPr>
              <w:t>30 βαθμοί</w:t>
            </w:r>
          </w:p>
        </w:tc>
      </w:tr>
      <w:tr w:rsidR="00E76EBC" w:rsidRPr="006A0298" w:rsidTr="00563BA9">
        <w:trPr>
          <w:trHeight w:val="699"/>
        </w:trPr>
        <w:tc>
          <w:tcPr>
            <w:tcW w:w="7404" w:type="dxa"/>
            <w:shd w:val="clear" w:color="auto" w:fill="B8CCE4" w:themeFill="accent1" w:themeFillTint="66"/>
            <w:vAlign w:val="center"/>
          </w:tcPr>
          <w:p w:rsidR="00E76EBC" w:rsidRPr="006A0298" w:rsidRDefault="00E76EBC" w:rsidP="00563BA9">
            <w:pPr>
              <w:spacing w:after="0"/>
              <w:jc w:val="center"/>
              <w:rPr>
                <w:rFonts w:ascii="Cambria" w:hAnsi="Cambria" w:cs="Cambria"/>
                <w:i/>
                <w:iCs/>
                <w:color w:val="244061" w:themeColor="accent1" w:themeShade="80"/>
              </w:rPr>
            </w:pPr>
            <w:r w:rsidRPr="006A0298">
              <w:rPr>
                <w:rFonts w:ascii="Cambria" w:hAnsi="Cambria" w:cs="Cambria"/>
                <w:b/>
                <w:bCs/>
                <w:i/>
                <w:iCs/>
                <w:color w:val="244061" w:themeColor="accent1" w:themeShade="80"/>
              </w:rPr>
              <w:t xml:space="preserve">ΕΛΑΧΙΣΤΟ ΠΟΣΟΣΤΟ ΒΑΘΜΟΛΟΓΙΑΣ ΠΟΥ ΟΦΕΙΛΕΙ ΝΑ ΣΥΓΚΕΝΤΡΩΣΕΙ Ο ΕΝ ΔΥΝΑΜΕΙ ΔΙΚΑΙΟΥΧΟΣ </w:t>
            </w:r>
          </w:p>
        </w:tc>
        <w:tc>
          <w:tcPr>
            <w:tcW w:w="6346" w:type="dxa"/>
            <w:vAlign w:val="center"/>
          </w:tcPr>
          <w:p w:rsidR="00E76EBC" w:rsidRPr="006A0298" w:rsidRDefault="00E76EBC" w:rsidP="00563BA9">
            <w:pPr>
              <w:jc w:val="center"/>
              <w:rPr>
                <w:rFonts w:ascii="Cambria" w:hAnsi="Cambria"/>
                <w:b/>
                <w:color w:val="244061" w:themeColor="accent1" w:themeShade="80"/>
              </w:rPr>
            </w:pPr>
            <w:r w:rsidRPr="006A0298">
              <w:rPr>
                <w:rFonts w:ascii="Cambria" w:hAnsi="Cambria" w:cs="Cambria"/>
                <w:b/>
                <w:i/>
                <w:iCs/>
                <w:color w:val="244061" w:themeColor="accent1" w:themeShade="80"/>
              </w:rPr>
              <w:t>30 (% της μέγιστης βαθμολογίας)</w:t>
            </w:r>
          </w:p>
        </w:tc>
      </w:tr>
    </w:tbl>
    <w:p w:rsidR="00E76EBC" w:rsidRDefault="00E76EBC" w:rsidP="00E76EBC"/>
    <w:p w:rsidR="00426B7A" w:rsidRDefault="00426B7A"/>
    <w:sectPr w:rsidR="00426B7A" w:rsidSect="00E76EBC">
      <w:pgSz w:w="16838" w:h="11906" w:orient="landscape"/>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30645"/>
    <w:multiLevelType w:val="hybridMultilevel"/>
    <w:tmpl w:val="72230645"/>
    <w:lvl w:ilvl="0" w:tplc="FFFFFFFF">
      <w:start w:val="1"/>
      <w:numFmt w:val="bullet"/>
      <w:lvlText w:val=""/>
      <w:lvlJc w:val="left"/>
      <w:pPr>
        <w:ind w:left="720" w:hanging="360"/>
      </w:pPr>
      <w:rPr>
        <w:rFonts w:ascii="Symbol" w:hAnsi="Symbol" w:cs="Symbol"/>
      </w:rPr>
    </w:lvl>
    <w:lvl w:ilvl="1" w:tplc="FFFFFFFF">
      <w:start w:val="1"/>
      <w:numFmt w:val="bullet"/>
      <w:lvlText w:val="o"/>
      <w:lvlJc w:val="left"/>
      <w:pPr>
        <w:tabs>
          <w:tab w:val="num" w:pos="1440"/>
        </w:tabs>
        <w:ind w:left="1440" w:hanging="360"/>
      </w:pPr>
      <w:rPr>
        <w:rFonts w:ascii="Courier New" w:hAnsi="Courier New" w:cs="Courier New"/>
      </w:rPr>
    </w:lvl>
    <w:lvl w:ilvl="2" w:tplc="FFFFFFFF">
      <w:start w:val="1"/>
      <w:numFmt w:val="bullet"/>
      <w:lvlText w:val=""/>
      <w:lvlJc w:val="left"/>
      <w:pPr>
        <w:tabs>
          <w:tab w:val="num" w:pos="2160"/>
        </w:tabs>
        <w:ind w:left="2160" w:hanging="360"/>
      </w:pPr>
      <w:rPr>
        <w:rFonts w:ascii="Wingdings" w:hAnsi="Wingdings" w:cs="Wingdings"/>
      </w:rPr>
    </w:lvl>
    <w:lvl w:ilvl="3" w:tplc="FFFFFFFF">
      <w:start w:val="1"/>
      <w:numFmt w:val="bullet"/>
      <w:lvlText w:val=""/>
      <w:lvlJc w:val="left"/>
      <w:pPr>
        <w:tabs>
          <w:tab w:val="num" w:pos="2880"/>
        </w:tabs>
        <w:ind w:left="2880" w:hanging="360"/>
      </w:pPr>
      <w:rPr>
        <w:rFonts w:ascii="Symbol" w:hAnsi="Symbol" w:cs="Symbol"/>
      </w:rPr>
    </w:lvl>
    <w:lvl w:ilvl="4" w:tplc="FFFFFFFF">
      <w:start w:val="1"/>
      <w:numFmt w:val="bullet"/>
      <w:lvlText w:val="o"/>
      <w:lvlJc w:val="left"/>
      <w:pPr>
        <w:tabs>
          <w:tab w:val="num" w:pos="3600"/>
        </w:tabs>
        <w:ind w:left="3600" w:hanging="360"/>
      </w:pPr>
      <w:rPr>
        <w:rFonts w:ascii="Courier New" w:hAnsi="Courier New" w:cs="Courier New"/>
      </w:rPr>
    </w:lvl>
    <w:lvl w:ilvl="5" w:tplc="FFFFFFFF">
      <w:start w:val="1"/>
      <w:numFmt w:val="bullet"/>
      <w:lvlText w:val=""/>
      <w:lvlJc w:val="left"/>
      <w:pPr>
        <w:tabs>
          <w:tab w:val="num" w:pos="4320"/>
        </w:tabs>
        <w:ind w:left="4320" w:hanging="360"/>
      </w:pPr>
      <w:rPr>
        <w:rFonts w:ascii="Wingdings" w:hAnsi="Wingdings" w:cs="Wingdings"/>
      </w:rPr>
    </w:lvl>
    <w:lvl w:ilvl="6" w:tplc="FFFFFFFF">
      <w:start w:val="1"/>
      <w:numFmt w:val="bullet"/>
      <w:lvlText w:val=""/>
      <w:lvlJc w:val="left"/>
      <w:pPr>
        <w:tabs>
          <w:tab w:val="num" w:pos="5040"/>
        </w:tabs>
        <w:ind w:left="5040" w:hanging="360"/>
      </w:pPr>
      <w:rPr>
        <w:rFonts w:ascii="Symbol" w:hAnsi="Symbol" w:cs="Symbol"/>
      </w:rPr>
    </w:lvl>
    <w:lvl w:ilvl="7" w:tplc="FFFFFFFF">
      <w:start w:val="1"/>
      <w:numFmt w:val="bullet"/>
      <w:lvlText w:val="o"/>
      <w:lvlJc w:val="left"/>
      <w:pPr>
        <w:tabs>
          <w:tab w:val="num" w:pos="5760"/>
        </w:tabs>
        <w:ind w:left="5760" w:hanging="360"/>
      </w:pPr>
      <w:rPr>
        <w:rFonts w:ascii="Courier New" w:hAnsi="Courier New" w:cs="Courier New"/>
      </w:rPr>
    </w:lvl>
    <w:lvl w:ilvl="8" w:tplc="FFFFFFFF">
      <w:start w:val="1"/>
      <w:numFmt w:val="bullet"/>
      <w:lvlText w:val=""/>
      <w:lvlJc w:val="left"/>
      <w:pPr>
        <w:tabs>
          <w:tab w:val="num" w:pos="6480"/>
        </w:tabs>
        <w:ind w:left="6480" w:hanging="360"/>
      </w:pPr>
      <w:rPr>
        <w:rFonts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EBC"/>
    <w:rsid w:val="00426B7A"/>
    <w:rsid w:val="00B51BA2"/>
    <w:rsid w:val="00E76E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EBC"/>
    <w:pPr>
      <w:spacing w:after="120" w:line="240" w:lineRule="auto"/>
      <w:jc w:val="both"/>
    </w:pPr>
    <w:rPr>
      <w:rFonts w:ascii="Calibri" w:eastAsia="Calibri" w:hAnsi="Calibri" w:cs="Calibri"/>
    </w:rPr>
  </w:style>
  <w:style w:type="paragraph" w:styleId="3">
    <w:name w:val="heading 3"/>
    <w:basedOn w:val="a"/>
    <w:next w:val="a"/>
    <w:link w:val="3Char"/>
    <w:uiPriority w:val="99"/>
    <w:qFormat/>
    <w:rsid w:val="00E76EBC"/>
    <w:pPr>
      <w:keepNext/>
      <w:keepLines/>
      <w:spacing w:before="200" w:after="0"/>
      <w:outlineLvl w:val="2"/>
    </w:pPr>
    <w:rPr>
      <w:rFonts w:ascii="Cambria" w:eastAsia="Times New Roman" w:hAnsi="Cambria" w:cs="Cambria"/>
      <w:b/>
      <w:bCs/>
      <w:color w:val="4F81BD"/>
    </w:rPr>
  </w:style>
  <w:style w:type="paragraph" w:styleId="6">
    <w:name w:val="heading 6"/>
    <w:basedOn w:val="a"/>
    <w:next w:val="a"/>
    <w:link w:val="6Char"/>
    <w:uiPriority w:val="99"/>
    <w:qFormat/>
    <w:rsid w:val="00E76EBC"/>
    <w:pPr>
      <w:keepNext/>
      <w:keepLines/>
      <w:spacing w:before="200" w:after="0"/>
      <w:outlineLvl w:val="5"/>
    </w:pPr>
    <w:rPr>
      <w:rFonts w:ascii="Cambria" w:eastAsia="Times New Roman"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E76EBC"/>
    <w:rPr>
      <w:rFonts w:ascii="Cambria" w:eastAsia="Times New Roman" w:hAnsi="Cambria" w:cs="Cambria"/>
      <w:b/>
      <w:bCs/>
      <w:color w:val="4F81BD"/>
    </w:rPr>
  </w:style>
  <w:style w:type="character" w:customStyle="1" w:styleId="6Char">
    <w:name w:val="Επικεφαλίδα 6 Char"/>
    <w:basedOn w:val="a0"/>
    <w:link w:val="6"/>
    <w:uiPriority w:val="99"/>
    <w:rsid w:val="00E76EBC"/>
    <w:rPr>
      <w:rFonts w:ascii="Cambria" w:eastAsia="Times New Roman" w:hAnsi="Cambria" w:cs="Cambria"/>
      <w:i/>
      <w:iCs/>
      <w:color w:val="243F60"/>
    </w:rPr>
  </w:style>
  <w:style w:type="character" w:styleId="a3">
    <w:name w:val="Intense Emphasis"/>
    <w:basedOn w:val="a0"/>
    <w:uiPriority w:val="99"/>
    <w:qFormat/>
    <w:rsid w:val="00E76EBC"/>
    <w:rPr>
      <w:b/>
      <w:bCs/>
      <w:i/>
      <w:iCs/>
      <w:color w:val="4F81BD"/>
    </w:rPr>
  </w:style>
  <w:style w:type="table" w:styleId="a4">
    <w:name w:val="Table Grid"/>
    <w:basedOn w:val="a1"/>
    <w:rsid w:val="00E76EBC"/>
    <w:pPr>
      <w:spacing w:after="0" w:line="240" w:lineRule="auto"/>
    </w:pPr>
    <w:rPr>
      <w:rFonts w:ascii="Calibri" w:eastAsia="Calibri" w:hAnsi="Calibri" w:cs="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EBC"/>
    <w:pPr>
      <w:spacing w:after="120" w:line="240" w:lineRule="auto"/>
      <w:jc w:val="both"/>
    </w:pPr>
    <w:rPr>
      <w:rFonts w:ascii="Calibri" w:eastAsia="Calibri" w:hAnsi="Calibri" w:cs="Calibri"/>
    </w:rPr>
  </w:style>
  <w:style w:type="paragraph" w:styleId="3">
    <w:name w:val="heading 3"/>
    <w:basedOn w:val="a"/>
    <w:next w:val="a"/>
    <w:link w:val="3Char"/>
    <w:uiPriority w:val="99"/>
    <w:qFormat/>
    <w:rsid w:val="00E76EBC"/>
    <w:pPr>
      <w:keepNext/>
      <w:keepLines/>
      <w:spacing w:before="200" w:after="0"/>
      <w:outlineLvl w:val="2"/>
    </w:pPr>
    <w:rPr>
      <w:rFonts w:ascii="Cambria" w:eastAsia="Times New Roman" w:hAnsi="Cambria" w:cs="Cambria"/>
      <w:b/>
      <w:bCs/>
      <w:color w:val="4F81BD"/>
    </w:rPr>
  </w:style>
  <w:style w:type="paragraph" w:styleId="6">
    <w:name w:val="heading 6"/>
    <w:basedOn w:val="a"/>
    <w:next w:val="a"/>
    <w:link w:val="6Char"/>
    <w:uiPriority w:val="99"/>
    <w:qFormat/>
    <w:rsid w:val="00E76EBC"/>
    <w:pPr>
      <w:keepNext/>
      <w:keepLines/>
      <w:spacing w:before="200" w:after="0"/>
      <w:outlineLvl w:val="5"/>
    </w:pPr>
    <w:rPr>
      <w:rFonts w:ascii="Cambria" w:eastAsia="Times New Roman" w:hAnsi="Cambria" w:cs="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E76EBC"/>
    <w:rPr>
      <w:rFonts w:ascii="Cambria" w:eastAsia="Times New Roman" w:hAnsi="Cambria" w:cs="Cambria"/>
      <w:b/>
      <w:bCs/>
      <w:color w:val="4F81BD"/>
    </w:rPr>
  </w:style>
  <w:style w:type="character" w:customStyle="1" w:styleId="6Char">
    <w:name w:val="Επικεφαλίδα 6 Char"/>
    <w:basedOn w:val="a0"/>
    <w:link w:val="6"/>
    <w:uiPriority w:val="99"/>
    <w:rsid w:val="00E76EBC"/>
    <w:rPr>
      <w:rFonts w:ascii="Cambria" w:eastAsia="Times New Roman" w:hAnsi="Cambria" w:cs="Cambria"/>
      <w:i/>
      <w:iCs/>
      <w:color w:val="243F60"/>
    </w:rPr>
  </w:style>
  <w:style w:type="character" w:styleId="a3">
    <w:name w:val="Intense Emphasis"/>
    <w:basedOn w:val="a0"/>
    <w:uiPriority w:val="99"/>
    <w:qFormat/>
    <w:rsid w:val="00E76EBC"/>
    <w:rPr>
      <w:b/>
      <w:bCs/>
      <w:i/>
      <w:iCs/>
      <w:color w:val="4F81BD"/>
    </w:rPr>
  </w:style>
  <w:style w:type="table" w:styleId="a4">
    <w:name w:val="Table Grid"/>
    <w:basedOn w:val="a1"/>
    <w:rsid w:val="00E76EBC"/>
    <w:pPr>
      <w:spacing w:after="0" w:line="240" w:lineRule="auto"/>
    </w:pPr>
    <w:rPr>
      <w:rFonts w:ascii="Calibri" w:eastAsia="Calibri" w:hAnsi="Calibri" w:cs="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886</Words>
  <Characters>4787</Characters>
  <Application>Microsoft Office Word</Application>
  <DocSecurity>0</DocSecurity>
  <Lines>39</Lines>
  <Paragraphs>11</Paragraphs>
  <ScaleCrop>false</ScaleCrop>
  <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ΑΘΑΝΑΣΟΠΟΥΛΟΥ ΑΙΚΑΤΕΡΙΝΗ</dc:creator>
  <cp:lastModifiedBy>ΑΘΑΝΑΣΟΠΟΥΛΟΥ ΑΙΚΑΤΕΡΙΝΗ</cp:lastModifiedBy>
  <cp:revision>1</cp:revision>
  <dcterms:created xsi:type="dcterms:W3CDTF">2020-06-17T08:51:00Z</dcterms:created>
  <dcterms:modified xsi:type="dcterms:W3CDTF">2020-06-17T08:53:00Z</dcterms:modified>
</cp:coreProperties>
</file>